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15924" w14:textId="77777777" w:rsidR="00510916" w:rsidRPr="00510916" w:rsidRDefault="00510916" w:rsidP="00E859E0"/>
    <w:p w14:paraId="6A159AF5" w14:textId="77777777" w:rsidR="00510916" w:rsidRPr="00510916" w:rsidRDefault="00510916" w:rsidP="00E859E0"/>
    <w:p w14:paraId="59E6A3E3" w14:textId="77777777" w:rsidR="00510916" w:rsidRPr="00510916" w:rsidRDefault="00510916" w:rsidP="00E859E0"/>
    <w:p w14:paraId="5A378CE8" w14:textId="77777777" w:rsidR="00E859E0" w:rsidRDefault="00E859E0" w:rsidP="00510916">
      <w:pPr>
        <w:pStyle w:val="Body"/>
        <w:spacing w:after="0" w:line="360" w:lineRule="auto"/>
        <w:jc w:val="center"/>
        <w:rPr>
          <w:rStyle w:val="Nmerodepgina1"/>
          <w:rFonts w:ascii="Gill Sans MT" w:eastAsia="Gill Sans MT" w:hAnsi="Gill Sans MT" w:cs="Gill Sans MT"/>
          <w:b/>
          <w:bCs/>
          <w:smallCaps/>
          <w:sz w:val="32"/>
          <w:szCs w:val="32"/>
          <w:lang w:val="en-US"/>
        </w:rPr>
      </w:pPr>
    </w:p>
    <w:p w14:paraId="5A23B96A" w14:textId="77777777" w:rsidR="00E859E0" w:rsidRDefault="00E859E0" w:rsidP="00510916">
      <w:pPr>
        <w:pStyle w:val="Body"/>
        <w:spacing w:after="0" w:line="360" w:lineRule="auto"/>
        <w:jc w:val="center"/>
        <w:rPr>
          <w:rStyle w:val="Nmerodepgina1"/>
          <w:rFonts w:ascii="Gill Sans MT" w:eastAsia="Gill Sans MT" w:hAnsi="Gill Sans MT" w:cs="Gill Sans MT"/>
          <w:b/>
          <w:bCs/>
          <w:smallCaps/>
          <w:sz w:val="32"/>
          <w:szCs w:val="32"/>
          <w:lang w:val="en-US"/>
        </w:rPr>
      </w:pPr>
    </w:p>
    <w:p w14:paraId="002A111D" w14:textId="2025831D" w:rsidR="00510916" w:rsidRPr="00713D35" w:rsidRDefault="00E27D26" w:rsidP="00510916">
      <w:pPr>
        <w:pStyle w:val="Body"/>
        <w:spacing w:after="0" w:line="360" w:lineRule="auto"/>
        <w:jc w:val="center"/>
        <w:rPr>
          <w:rStyle w:val="Nmerodepgina1"/>
          <w:rFonts w:ascii="Gill Sans MT" w:eastAsia="Gill Sans MT" w:hAnsi="Gill Sans MT" w:cs="Gill Sans MT"/>
          <w:b/>
          <w:bCs/>
          <w:smallCaps/>
          <w:sz w:val="32"/>
          <w:szCs w:val="32"/>
          <w:lang w:val="en-US"/>
        </w:rPr>
      </w:pPr>
      <w:r>
        <w:rPr>
          <w:rStyle w:val="Nmerodepgina1"/>
          <w:rFonts w:ascii="Gill Sans MT" w:eastAsia="Gill Sans MT" w:hAnsi="Gill Sans MT" w:cs="Gill Sans MT"/>
          <w:b/>
          <w:bCs/>
          <w:smallCaps/>
          <w:sz w:val="32"/>
          <w:szCs w:val="32"/>
          <w:lang w:val="en-US"/>
        </w:rPr>
        <w:t>201</w:t>
      </w:r>
      <w:r w:rsidR="00C36904">
        <w:rPr>
          <w:rStyle w:val="Nmerodepgina1"/>
          <w:rFonts w:ascii="Gill Sans MT" w:eastAsia="Gill Sans MT" w:hAnsi="Gill Sans MT" w:cs="Gill Sans MT"/>
          <w:b/>
          <w:bCs/>
          <w:smallCaps/>
          <w:sz w:val="32"/>
          <w:szCs w:val="32"/>
          <w:lang w:val="en-US"/>
        </w:rPr>
        <w:t>8</w:t>
      </w:r>
    </w:p>
    <w:p w14:paraId="68DF2A3F" w14:textId="77777777" w:rsidR="00510916" w:rsidRPr="00713D35" w:rsidRDefault="00510916" w:rsidP="00510916">
      <w:pPr>
        <w:pStyle w:val="Body"/>
        <w:spacing w:after="0" w:line="360" w:lineRule="auto"/>
        <w:rPr>
          <w:rStyle w:val="Nmerodepgina1"/>
          <w:rFonts w:ascii="Gill Sans MT" w:eastAsia="Gill Sans MT" w:hAnsi="Gill Sans MT" w:cs="Gill Sans MT"/>
          <w:b/>
          <w:bCs/>
          <w:smallCaps/>
          <w:sz w:val="24"/>
          <w:szCs w:val="24"/>
          <w:lang w:val="en-US"/>
        </w:rPr>
      </w:pPr>
    </w:p>
    <w:p w14:paraId="5464B33D" w14:textId="77777777" w:rsidR="00510916" w:rsidRPr="00713D35" w:rsidRDefault="00510916" w:rsidP="00510916">
      <w:pPr>
        <w:pStyle w:val="Body"/>
        <w:jc w:val="center"/>
        <w:rPr>
          <w:rStyle w:val="Nmerodepgina1"/>
          <w:rFonts w:ascii="Gill Sans MT" w:eastAsia="Gill Sans MT" w:hAnsi="Gill Sans MT" w:cs="Gill Sans MT"/>
          <w:b/>
          <w:bCs/>
          <w:sz w:val="32"/>
          <w:szCs w:val="32"/>
          <w:lang w:val="en-US"/>
        </w:rPr>
      </w:pPr>
      <w:r w:rsidRPr="00713D35">
        <w:rPr>
          <w:rStyle w:val="Nmerodepgina1"/>
          <w:rFonts w:ascii="Gill Sans MT" w:eastAsia="Gill Sans MT" w:hAnsi="Gill Sans MT" w:cs="Gill Sans MT"/>
          <w:b/>
          <w:bCs/>
          <w:sz w:val="32"/>
          <w:szCs w:val="32"/>
          <w:lang w:val="de-DE"/>
        </w:rPr>
        <w:t>Erasmus+</w:t>
      </w:r>
      <w:r w:rsidRPr="00713D35">
        <w:rPr>
          <w:rStyle w:val="Nmerodepgina1"/>
          <w:rFonts w:ascii="Gill Sans MT" w:eastAsia="Gill Sans MT" w:hAnsi="Gill Sans MT" w:cs="Gill Sans MT"/>
          <w:b/>
          <w:bCs/>
          <w:sz w:val="32"/>
          <w:szCs w:val="32"/>
          <w:lang w:val="it-IT"/>
        </w:rPr>
        <w:t xml:space="preserve"> Programme</w:t>
      </w:r>
    </w:p>
    <w:p w14:paraId="363D1928" w14:textId="77777777" w:rsidR="00510916" w:rsidRPr="00713D35" w:rsidRDefault="00510916" w:rsidP="00510916">
      <w:pPr>
        <w:pStyle w:val="Body"/>
        <w:jc w:val="center"/>
        <w:rPr>
          <w:rStyle w:val="Nmerodepgina1"/>
          <w:rFonts w:ascii="Gill Sans MT" w:eastAsia="Gill Sans MT" w:hAnsi="Gill Sans MT" w:cs="Gill Sans MT"/>
          <w:b/>
          <w:bCs/>
          <w:sz w:val="24"/>
          <w:szCs w:val="24"/>
          <w:lang w:val="en-US"/>
        </w:rPr>
      </w:pPr>
    </w:p>
    <w:p w14:paraId="60FADFE2" w14:textId="77777777" w:rsidR="00510916" w:rsidRDefault="00510916" w:rsidP="00510916">
      <w:pPr>
        <w:pStyle w:val="Body"/>
        <w:jc w:val="center"/>
        <w:rPr>
          <w:rStyle w:val="Nmerodepgina1"/>
          <w:rFonts w:ascii="Gill Sans MT" w:eastAsia="Gill Sans MT" w:hAnsi="Gill Sans MT" w:cs="Gill Sans MT"/>
          <w:b/>
          <w:bCs/>
          <w:sz w:val="24"/>
          <w:szCs w:val="24"/>
          <w:lang w:val="en-US"/>
        </w:rPr>
      </w:pPr>
      <w:r w:rsidRPr="00713D35">
        <w:rPr>
          <w:rStyle w:val="Nmerodepgina1"/>
          <w:rFonts w:ascii="Gill Sans MT" w:eastAsia="Gill Sans MT" w:hAnsi="Gill Sans MT" w:cs="Gill Sans MT"/>
          <w:b/>
          <w:bCs/>
          <w:sz w:val="24"/>
          <w:szCs w:val="24"/>
          <w:lang w:val="it-IT"/>
        </w:rPr>
        <w:t>KEY ACTION</w:t>
      </w:r>
      <w:r w:rsidRPr="00713D35">
        <w:rPr>
          <w:rStyle w:val="Nmerodepgina1"/>
          <w:rFonts w:ascii="Gill Sans MT" w:eastAsia="Gill Sans MT" w:hAnsi="Gill Sans MT" w:cs="Gill Sans MT"/>
          <w:b/>
          <w:bCs/>
          <w:sz w:val="24"/>
          <w:szCs w:val="24"/>
          <w:lang w:val="en-US"/>
        </w:rPr>
        <w:t xml:space="preserve"> 1 –</w:t>
      </w:r>
      <w:r>
        <w:rPr>
          <w:rStyle w:val="Nmerodepgina1"/>
          <w:rFonts w:ascii="Gill Sans MT" w:eastAsia="Gill Sans MT" w:hAnsi="Gill Sans MT" w:cs="Gill Sans MT"/>
          <w:b/>
          <w:bCs/>
          <w:sz w:val="24"/>
          <w:szCs w:val="24"/>
          <w:lang w:val="en-US"/>
        </w:rPr>
        <w:t xml:space="preserve"> </w:t>
      </w:r>
      <w:r w:rsidRPr="004A092C">
        <w:rPr>
          <w:rStyle w:val="Nmerodepgina1"/>
          <w:rFonts w:ascii="Gill Sans MT" w:eastAsia="Gill Sans MT" w:hAnsi="Gill Sans MT" w:cs="Gill Sans MT"/>
          <w:b/>
          <w:bCs/>
          <w:sz w:val="24"/>
          <w:szCs w:val="24"/>
          <w:lang w:val="en-US"/>
        </w:rPr>
        <w:t xml:space="preserve">Learning Mobility of Individuals </w:t>
      </w:r>
      <w:r>
        <w:rPr>
          <w:rStyle w:val="Nmerodepgina1"/>
          <w:rFonts w:ascii="Gill Sans MT" w:eastAsia="Gill Sans MT" w:hAnsi="Gill Sans MT" w:cs="Gill Sans MT"/>
          <w:b/>
          <w:bCs/>
          <w:sz w:val="24"/>
          <w:szCs w:val="24"/>
          <w:lang w:val="en-US"/>
        </w:rPr>
        <w:t xml:space="preserve">/ </w:t>
      </w:r>
      <w:r w:rsidRPr="004A092C">
        <w:rPr>
          <w:rStyle w:val="Nmerodepgina1"/>
          <w:rFonts w:ascii="Gill Sans MT" w:eastAsia="Gill Sans MT" w:hAnsi="Gill Sans MT" w:cs="Gill Sans MT"/>
          <w:b/>
          <w:bCs/>
          <w:sz w:val="24"/>
          <w:szCs w:val="24"/>
          <w:lang w:val="en-US"/>
        </w:rPr>
        <w:t xml:space="preserve">Higher </w:t>
      </w:r>
      <w:r>
        <w:rPr>
          <w:rStyle w:val="Nmerodepgina1"/>
          <w:rFonts w:ascii="Gill Sans MT" w:eastAsia="Gill Sans MT" w:hAnsi="Gill Sans MT" w:cs="Gill Sans MT"/>
          <w:b/>
          <w:bCs/>
          <w:sz w:val="24"/>
          <w:szCs w:val="24"/>
          <w:lang w:val="en-US"/>
        </w:rPr>
        <w:t>E</w:t>
      </w:r>
      <w:r w:rsidRPr="004A092C">
        <w:rPr>
          <w:rStyle w:val="Nmerodepgina1"/>
          <w:rFonts w:ascii="Gill Sans MT" w:eastAsia="Gill Sans MT" w:hAnsi="Gill Sans MT" w:cs="Gill Sans MT"/>
          <w:b/>
          <w:bCs/>
          <w:sz w:val="24"/>
          <w:szCs w:val="24"/>
          <w:lang w:val="en-US"/>
        </w:rPr>
        <w:t xml:space="preserve">ducation </w:t>
      </w:r>
    </w:p>
    <w:p w14:paraId="136BBE77" w14:textId="77777777" w:rsidR="00510916" w:rsidRDefault="00510916" w:rsidP="00510916">
      <w:pPr>
        <w:pStyle w:val="Body"/>
        <w:rPr>
          <w:rStyle w:val="Nmerodepgina1"/>
          <w:rFonts w:ascii="Gill Sans MT" w:eastAsia="Gill Sans MT" w:hAnsi="Gill Sans MT" w:cs="Gill Sans MT"/>
          <w:b/>
          <w:bCs/>
          <w:sz w:val="24"/>
          <w:szCs w:val="24"/>
          <w:lang w:val="en-US"/>
        </w:rPr>
      </w:pPr>
    </w:p>
    <w:p w14:paraId="27769B25" w14:textId="77777777" w:rsidR="00510916" w:rsidRDefault="00510916" w:rsidP="00510916">
      <w:pPr>
        <w:pStyle w:val="Body"/>
        <w:jc w:val="center"/>
        <w:rPr>
          <w:rStyle w:val="Nmerodepgina1"/>
          <w:rFonts w:ascii="Gill Sans MT" w:eastAsia="Gill Sans MT" w:hAnsi="Gill Sans MT" w:cs="Gill Sans MT"/>
          <w:b/>
          <w:bCs/>
          <w:sz w:val="24"/>
          <w:szCs w:val="24"/>
          <w:lang w:val="en-US"/>
        </w:rPr>
      </w:pPr>
      <w:r>
        <w:rPr>
          <w:rStyle w:val="Nmerodepgina1"/>
          <w:rFonts w:ascii="Gill Sans MT" w:eastAsia="Gill Sans MT" w:hAnsi="Gill Sans MT" w:cs="Gill Sans MT"/>
          <w:b/>
          <w:bCs/>
          <w:sz w:val="24"/>
          <w:szCs w:val="24"/>
          <w:lang w:val="en-US"/>
        </w:rPr>
        <w:t>KA107 - S</w:t>
      </w:r>
      <w:r w:rsidRPr="004A092C">
        <w:rPr>
          <w:rStyle w:val="Nmerodepgina1"/>
          <w:rFonts w:ascii="Gill Sans MT" w:eastAsia="Gill Sans MT" w:hAnsi="Gill Sans MT" w:cs="Gill Sans MT"/>
          <w:b/>
          <w:bCs/>
          <w:sz w:val="24"/>
          <w:szCs w:val="24"/>
          <w:lang w:val="en-US"/>
        </w:rPr>
        <w:t xml:space="preserve">tudent and staff mobility between </w:t>
      </w:r>
      <w:proofErr w:type="spellStart"/>
      <w:r w:rsidRPr="004A092C">
        <w:rPr>
          <w:rStyle w:val="Nmerodepgina1"/>
          <w:rFonts w:ascii="Gill Sans MT" w:eastAsia="Gill Sans MT" w:hAnsi="Gill Sans MT" w:cs="Gill Sans MT"/>
          <w:b/>
          <w:bCs/>
          <w:sz w:val="24"/>
          <w:szCs w:val="24"/>
          <w:lang w:val="en-US"/>
        </w:rPr>
        <w:t>Programme</w:t>
      </w:r>
      <w:proofErr w:type="spellEnd"/>
      <w:r w:rsidRPr="004A092C">
        <w:rPr>
          <w:rStyle w:val="Nmerodepgina1"/>
          <w:rFonts w:ascii="Gill Sans MT" w:eastAsia="Gill Sans MT" w:hAnsi="Gill Sans MT" w:cs="Gill Sans MT"/>
          <w:b/>
          <w:bCs/>
          <w:sz w:val="24"/>
          <w:szCs w:val="24"/>
          <w:lang w:val="en-US"/>
        </w:rPr>
        <w:t xml:space="preserve"> and Partner</w:t>
      </w:r>
      <w:r>
        <w:rPr>
          <w:rStyle w:val="Nmerodepgina1"/>
          <w:rFonts w:ascii="Gill Sans MT" w:eastAsia="Gill Sans MT" w:hAnsi="Gill Sans MT" w:cs="Gill Sans MT"/>
          <w:b/>
          <w:bCs/>
          <w:sz w:val="24"/>
          <w:szCs w:val="24"/>
          <w:lang w:val="en-US"/>
        </w:rPr>
        <w:t xml:space="preserve"> Countries</w:t>
      </w:r>
    </w:p>
    <w:p w14:paraId="0C2AB1F6" w14:textId="77777777" w:rsidR="00510916" w:rsidRPr="002D72FD" w:rsidRDefault="00510916" w:rsidP="00510916">
      <w:pPr>
        <w:pStyle w:val="Body"/>
        <w:jc w:val="center"/>
        <w:rPr>
          <w:rStyle w:val="Nmerodepgina1"/>
          <w:rFonts w:ascii="Gill Sans MT" w:eastAsia="Gill Sans MT" w:hAnsi="Gill Sans MT" w:cs="Gill Sans MT"/>
          <w:b/>
          <w:bCs/>
          <w:sz w:val="24"/>
          <w:szCs w:val="24"/>
          <w:lang w:val="en-US"/>
        </w:rPr>
      </w:pPr>
    </w:p>
    <w:p w14:paraId="5CF9E3D6" w14:textId="77777777" w:rsidR="00510916" w:rsidRPr="00713D35" w:rsidRDefault="00510916" w:rsidP="00510916">
      <w:pPr>
        <w:pStyle w:val="Body"/>
        <w:spacing w:after="0" w:line="360" w:lineRule="auto"/>
        <w:rPr>
          <w:rStyle w:val="Nmerodepgina1"/>
          <w:rFonts w:ascii="Gill Sans MT" w:eastAsia="Gill Sans MT" w:hAnsi="Gill Sans MT" w:cs="Gill Sans MT"/>
          <w:b/>
          <w:bCs/>
          <w:smallCaps/>
          <w:sz w:val="24"/>
          <w:szCs w:val="24"/>
          <w:lang w:val="en-US"/>
        </w:rPr>
      </w:pPr>
    </w:p>
    <w:p w14:paraId="79A66ECB" w14:textId="77777777" w:rsidR="00510916" w:rsidRPr="00713D35" w:rsidRDefault="00510916" w:rsidP="00510916">
      <w:pPr>
        <w:pStyle w:val="Body"/>
        <w:suppressAutoHyphens/>
        <w:spacing w:after="0" w:line="360" w:lineRule="auto"/>
        <w:jc w:val="center"/>
        <w:rPr>
          <w:rStyle w:val="Nmerodepgina1"/>
          <w:rFonts w:ascii="Gill Sans MT" w:eastAsia="Gill Sans MT" w:hAnsi="Gill Sans MT" w:cs="Gill Sans MT"/>
          <w:b/>
          <w:bCs/>
          <w:color w:val="333333"/>
          <w:u w:color="333333"/>
          <w:lang w:val="en-US"/>
        </w:rPr>
      </w:pPr>
    </w:p>
    <w:p w14:paraId="00F54ABA" w14:textId="77777777" w:rsidR="00510916" w:rsidRPr="00510916" w:rsidRDefault="00510916" w:rsidP="00510916">
      <w:pPr>
        <w:pStyle w:val="Body"/>
        <w:suppressAutoHyphens/>
        <w:spacing w:after="0" w:line="360" w:lineRule="auto"/>
        <w:jc w:val="center"/>
        <w:rPr>
          <w:rStyle w:val="Nmerodepgina1"/>
          <w:rFonts w:ascii="Gill Sans MT" w:eastAsia="Gill Sans MT" w:hAnsi="Gill Sans MT" w:cs="Gill Sans MT"/>
          <w:b/>
          <w:bCs/>
          <w:color w:val="3B3838" w:themeColor="background2" w:themeShade="40"/>
          <w:sz w:val="24"/>
          <w:szCs w:val="24"/>
          <w:lang w:val="en-US"/>
        </w:rPr>
      </w:pPr>
      <w:r w:rsidRPr="00510916">
        <w:rPr>
          <w:rStyle w:val="Nmerodepgina1"/>
          <w:rFonts w:ascii="Gill Sans MT" w:eastAsia="Gill Sans MT" w:hAnsi="Gill Sans MT" w:cs="Gill Sans MT"/>
          <w:b/>
          <w:bCs/>
          <w:color w:val="3B3838" w:themeColor="background2" w:themeShade="40"/>
          <w:sz w:val="24"/>
          <w:szCs w:val="24"/>
          <w:u w:color="333333"/>
          <w:lang w:val="it-IT"/>
        </w:rPr>
        <w:t>PARTICIPANTS WITH SPECIAL NEEDS</w:t>
      </w:r>
    </w:p>
    <w:p w14:paraId="09DA8170" w14:textId="77777777" w:rsidR="00510916" w:rsidRPr="00713D35" w:rsidRDefault="00510916" w:rsidP="00510916">
      <w:pPr>
        <w:pStyle w:val="Body"/>
        <w:suppressAutoHyphens/>
        <w:spacing w:after="0" w:line="360" w:lineRule="auto"/>
        <w:jc w:val="both"/>
        <w:rPr>
          <w:rStyle w:val="Nmerodepgina1"/>
          <w:rFonts w:ascii="Gill Sans MT" w:eastAsia="Gill Sans MT" w:hAnsi="Gill Sans MT" w:cs="Gill Sans MT"/>
          <w:b/>
          <w:bCs/>
          <w:sz w:val="24"/>
          <w:szCs w:val="24"/>
          <w:lang w:val="en-US"/>
        </w:rPr>
      </w:pPr>
    </w:p>
    <w:p w14:paraId="1EA453D8" w14:textId="77777777" w:rsidR="00510916" w:rsidRPr="00E859E0" w:rsidRDefault="00510916" w:rsidP="00510916">
      <w:pPr>
        <w:pStyle w:val="Body"/>
        <w:suppressAutoHyphens/>
        <w:spacing w:after="0" w:line="360" w:lineRule="auto"/>
        <w:jc w:val="both"/>
        <w:rPr>
          <w:rStyle w:val="Nmerodepgina1"/>
          <w:rFonts w:ascii="Gill Sans MT" w:eastAsia="Gill Sans MT" w:hAnsi="Gill Sans MT" w:cs="Gill Sans MT"/>
          <w:b/>
          <w:bCs/>
          <w:smallCaps/>
          <w:sz w:val="24"/>
          <w:szCs w:val="24"/>
          <w:u w:val="single"/>
          <w:lang w:val="en-US"/>
        </w:rPr>
      </w:pPr>
    </w:p>
    <w:p w14:paraId="21315B1D" w14:textId="77777777" w:rsidR="00510916" w:rsidRPr="00E859E0" w:rsidRDefault="00510916" w:rsidP="00E859E0">
      <w:pPr>
        <w:rPr>
          <w:sz w:val="24"/>
          <w:szCs w:val="24"/>
          <w:lang w:val="en-GB"/>
        </w:rPr>
      </w:pPr>
      <w:r w:rsidRPr="00E859E0">
        <w:rPr>
          <w:sz w:val="24"/>
          <w:szCs w:val="24"/>
          <w:lang w:val="en-GB"/>
        </w:rPr>
        <w:t>Flat Rates for the attribution of Financial Support</w:t>
      </w:r>
    </w:p>
    <w:p w14:paraId="7D81329C" w14:textId="77777777" w:rsidR="00510916" w:rsidRPr="00E859E0" w:rsidRDefault="00510916" w:rsidP="00E859E0">
      <w:pPr>
        <w:rPr>
          <w:lang w:val="en-GB"/>
        </w:rPr>
      </w:pPr>
    </w:p>
    <w:p w14:paraId="607F8B06" w14:textId="77777777" w:rsidR="00510916" w:rsidRPr="00F4202E" w:rsidRDefault="00510916" w:rsidP="00E859E0">
      <w:pPr>
        <w:rPr>
          <w:lang w:val="en-GB"/>
        </w:rPr>
      </w:pPr>
    </w:p>
    <w:p w14:paraId="180544DE" w14:textId="77777777" w:rsidR="00510916" w:rsidRPr="00F4202E" w:rsidRDefault="00510916" w:rsidP="00E859E0">
      <w:pPr>
        <w:rPr>
          <w:lang w:val="en-GB"/>
        </w:rPr>
      </w:pPr>
    </w:p>
    <w:p w14:paraId="1D2FAA67" w14:textId="77777777" w:rsidR="00510916" w:rsidRPr="00F4202E" w:rsidRDefault="00510916" w:rsidP="00E859E0">
      <w:pPr>
        <w:rPr>
          <w:lang w:val="en-GB"/>
        </w:rPr>
      </w:pPr>
      <w:bookmarkStart w:id="0" w:name="_GoBack"/>
      <w:bookmarkEnd w:id="0"/>
    </w:p>
    <w:p w14:paraId="48A8FC45" w14:textId="77777777" w:rsidR="00510916" w:rsidRPr="00F4202E" w:rsidRDefault="00510916" w:rsidP="00E859E0">
      <w:pPr>
        <w:rPr>
          <w:lang w:val="en-GB"/>
        </w:rPr>
      </w:pPr>
    </w:p>
    <w:p w14:paraId="15E2CE84" w14:textId="77777777" w:rsidR="00510916" w:rsidRPr="00F4202E" w:rsidRDefault="00510916" w:rsidP="00E859E0">
      <w:pPr>
        <w:rPr>
          <w:lang w:val="en-GB"/>
        </w:rPr>
      </w:pPr>
    </w:p>
    <w:p w14:paraId="39196390" w14:textId="77777777" w:rsidR="00510916" w:rsidRPr="00F4202E" w:rsidRDefault="00510916" w:rsidP="00E859E0">
      <w:pPr>
        <w:rPr>
          <w:lang w:val="en-GB"/>
        </w:rPr>
      </w:pPr>
    </w:p>
    <w:p w14:paraId="1E0D5B57" w14:textId="77777777" w:rsidR="00510916" w:rsidRPr="00F4202E" w:rsidRDefault="00510916" w:rsidP="00E859E0">
      <w:pPr>
        <w:rPr>
          <w:lang w:val="en-GB"/>
        </w:rPr>
      </w:pPr>
    </w:p>
    <w:p w14:paraId="0175CBC9" w14:textId="77777777" w:rsidR="00510916" w:rsidRPr="00F4202E" w:rsidRDefault="00510916" w:rsidP="00E859E0">
      <w:pPr>
        <w:rPr>
          <w:lang w:val="en-GB"/>
        </w:rPr>
      </w:pPr>
    </w:p>
    <w:p w14:paraId="1F1793D2" w14:textId="77777777" w:rsidR="00510916" w:rsidRPr="00F4202E" w:rsidRDefault="00510916" w:rsidP="00E859E0">
      <w:pPr>
        <w:rPr>
          <w:lang w:val="en-GB"/>
        </w:rPr>
      </w:pPr>
    </w:p>
    <w:p w14:paraId="668EA2CC" w14:textId="77777777" w:rsidR="00510916" w:rsidRPr="00F4202E" w:rsidRDefault="00510916" w:rsidP="00E859E0">
      <w:pPr>
        <w:rPr>
          <w:lang w:val="en-GB"/>
        </w:rPr>
      </w:pPr>
    </w:p>
    <w:p w14:paraId="09086AB4" w14:textId="77777777" w:rsidR="00510916" w:rsidRPr="00F4202E" w:rsidRDefault="00510916" w:rsidP="00E859E0">
      <w:pPr>
        <w:rPr>
          <w:lang w:val="en-GB"/>
        </w:rPr>
      </w:pPr>
    </w:p>
    <w:p w14:paraId="22F23D7B" w14:textId="77777777" w:rsidR="00510916" w:rsidRPr="00F4202E" w:rsidRDefault="00510916" w:rsidP="00E859E0">
      <w:pPr>
        <w:rPr>
          <w:lang w:val="en-GB"/>
        </w:rPr>
      </w:pPr>
    </w:p>
    <w:p w14:paraId="422D531A" w14:textId="77777777" w:rsidR="00510916" w:rsidRPr="00F4202E" w:rsidRDefault="00510916" w:rsidP="00E859E0">
      <w:pPr>
        <w:rPr>
          <w:lang w:val="en-GB"/>
        </w:rPr>
      </w:pPr>
    </w:p>
    <w:p w14:paraId="5FD9E7DB" w14:textId="77777777" w:rsidR="00510916" w:rsidRPr="00F4202E" w:rsidRDefault="00510916" w:rsidP="00E859E0">
      <w:pPr>
        <w:rPr>
          <w:lang w:val="en-GB"/>
        </w:rPr>
      </w:pPr>
    </w:p>
    <w:p w14:paraId="45A0AD7A" w14:textId="77777777" w:rsidR="00531AF2" w:rsidRPr="00F4202E" w:rsidRDefault="00531AF2" w:rsidP="00E859E0">
      <w:pPr>
        <w:rPr>
          <w:lang w:val="en-GB"/>
        </w:rPr>
      </w:pPr>
    </w:p>
    <w:p w14:paraId="402BF0E5" w14:textId="77777777" w:rsidR="00531AF2" w:rsidRPr="00F4202E" w:rsidRDefault="00531AF2" w:rsidP="00E859E0">
      <w:pPr>
        <w:rPr>
          <w:lang w:val="en-GB"/>
        </w:rPr>
      </w:pPr>
    </w:p>
    <w:p w14:paraId="70C55748" w14:textId="77777777" w:rsidR="00531AF2" w:rsidRPr="00F4202E" w:rsidRDefault="00531AF2" w:rsidP="00E859E0">
      <w:pPr>
        <w:rPr>
          <w:lang w:val="en-GB"/>
        </w:rPr>
      </w:pPr>
    </w:p>
    <w:p w14:paraId="5DB25A0B" w14:textId="77777777" w:rsidR="00531AF2" w:rsidRPr="00F4202E" w:rsidRDefault="00531AF2" w:rsidP="00E859E0">
      <w:pPr>
        <w:rPr>
          <w:lang w:val="en-GB"/>
        </w:rPr>
      </w:pPr>
    </w:p>
    <w:p w14:paraId="1E353FA0" w14:textId="77777777" w:rsidR="00531AF2" w:rsidRDefault="00531AF2" w:rsidP="00E859E0">
      <w:pPr>
        <w:rPr>
          <w:lang w:val="en-GB"/>
        </w:rPr>
      </w:pPr>
    </w:p>
    <w:p w14:paraId="7BD6989D" w14:textId="77777777" w:rsidR="00C63327" w:rsidRPr="00F4202E" w:rsidRDefault="00C63327" w:rsidP="00E859E0">
      <w:pPr>
        <w:rPr>
          <w:lang w:val="en-GB"/>
        </w:rPr>
      </w:pPr>
    </w:p>
    <w:p w14:paraId="72A9C7C7" w14:textId="77777777" w:rsidR="00531AF2" w:rsidRPr="00F4202E" w:rsidRDefault="00531AF2" w:rsidP="00E859E0">
      <w:pPr>
        <w:rPr>
          <w:lang w:val="en-GB"/>
        </w:rPr>
      </w:pPr>
    </w:p>
    <w:p w14:paraId="76620A29" w14:textId="77777777" w:rsidR="00531AF2" w:rsidRPr="00F4202E" w:rsidRDefault="00531AF2" w:rsidP="00E859E0">
      <w:pPr>
        <w:rPr>
          <w:lang w:val="en-GB"/>
        </w:rPr>
      </w:pPr>
    </w:p>
    <w:p w14:paraId="2A2CC440" w14:textId="77777777" w:rsidR="00531AF2" w:rsidRPr="00F4202E" w:rsidRDefault="00531AF2" w:rsidP="00E859E0">
      <w:pPr>
        <w:rPr>
          <w:lang w:val="en-GB"/>
        </w:rPr>
      </w:pPr>
    </w:p>
    <w:p w14:paraId="1271A0BF" w14:textId="77777777" w:rsidR="00531AF2" w:rsidRPr="00F4202E" w:rsidRDefault="00531AF2" w:rsidP="00E859E0">
      <w:pPr>
        <w:rPr>
          <w:lang w:val="en-GB"/>
        </w:rPr>
      </w:pPr>
    </w:p>
    <w:p w14:paraId="2C307C88" w14:textId="77777777" w:rsidR="00C63327" w:rsidRDefault="00C63327" w:rsidP="00C63327">
      <w:pPr>
        <w:pStyle w:val="Body"/>
        <w:spacing w:after="0" w:line="360" w:lineRule="auto"/>
        <w:jc w:val="both"/>
        <w:rPr>
          <w:rFonts w:ascii="Gill Sans MT" w:eastAsia="Times New Roman" w:hAnsi="Gill Sans MT" w:cs="Times New Roman"/>
          <w:b/>
          <w:bCs/>
          <w:smallCaps/>
          <w:color w:val="404040" w:themeColor="text1" w:themeTint="BF"/>
          <w:sz w:val="24"/>
          <w:szCs w:val="24"/>
          <w:lang w:val="en-GB"/>
        </w:rPr>
      </w:pPr>
    </w:p>
    <w:p w14:paraId="5B262946" w14:textId="77777777" w:rsidR="00C63327" w:rsidRDefault="00C63327" w:rsidP="00C63327">
      <w:pPr>
        <w:pStyle w:val="Body"/>
        <w:spacing w:after="0" w:line="360" w:lineRule="auto"/>
        <w:jc w:val="both"/>
        <w:rPr>
          <w:rStyle w:val="Nmerodepgina1"/>
          <w:rFonts w:ascii="Gill Sans MT" w:eastAsia="Gill Sans MT" w:hAnsi="Gill Sans MT" w:cs="Gill Sans MT"/>
          <w:b/>
          <w:bCs/>
          <w:sz w:val="24"/>
          <w:szCs w:val="24"/>
          <w:lang w:val="it-IT"/>
        </w:rPr>
      </w:pPr>
    </w:p>
    <w:p w14:paraId="620A414A" w14:textId="4D3EF458" w:rsidR="00C63327" w:rsidRPr="00713D35" w:rsidRDefault="00C63327" w:rsidP="00C63327">
      <w:pPr>
        <w:pStyle w:val="Body"/>
        <w:spacing w:after="0" w:line="360" w:lineRule="auto"/>
        <w:jc w:val="both"/>
        <w:rPr>
          <w:rStyle w:val="Nmerodepgina1"/>
          <w:rFonts w:ascii="Gill Sans MT" w:eastAsia="Gill Sans MT" w:hAnsi="Gill Sans MT" w:cs="Gill Sans MT"/>
          <w:b/>
          <w:bCs/>
          <w:sz w:val="24"/>
          <w:szCs w:val="24"/>
          <w:lang w:val="en-US"/>
        </w:rPr>
      </w:pPr>
      <w:r w:rsidRPr="00713D35">
        <w:rPr>
          <w:rStyle w:val="Nmerodepgina1"/>
          <w:rFonts w:ascii="Gill Sans MT" w:eastAsia="Gill Sans MT" w:hAnsi="Gill Sans MT" w:cs="Gill Sans MT"/>
          <w:b/>
          <w:bCs/>
          <w:sz w:val="24"/>
          <w:szCs w:val="24"/>
          <w:lang w:val="it-IT"/>
        </w:rPr>
        <w:t>Calculation approach</w:t>
      </w:r>
    </w:p>
    <w:p w14:paraId="0B4586BA" w14:textId="77777777" w:rsidR="00C63327" w:rsidRPr="00713D35" w:rsidRDefault="00C63327" w:rsidP="00C63327">
      <w:pPr>
        <w:pStyle w:val="Body"/>
        <w:spacing w:after="0" w:line="360" w:lineRule="auto"/>
        <w:jc w:val="both"/>
        <w:rPr>
          <w:rStyle w:val="Nmerodepgina1"/>
          <w:rFonts w:ascii="Gill Sans MT" w:eastAsia="Gill Sans MT" w:hAnsi="Gill Sans MT" w:cs="Gill Sans MT"/>
          <w:lang w:val="en-US"/>
        </w:rPr>
      </w:pPr>
      <w:r w:rsidRPr="00713D35">
        <w:rPr>
          <w:rStyle w:val="Nmerodepgina1"/>
          <w:rFonts w:ascii="Gill Sans MT" w:eastAsia="Gill Sans MT" w:hAnsi="Gill Sans MT" w:cs="Gill Sans MT"/>
          <w:lang w:val="it-IT"/>
        </w:rPr>
        <w:t xml:space="preserve">The National Agency (NA) can assign additional funding to the beneficiaries with special needs of the </w:t>
      </w:r>
      <w:r w:rsidRPr="00713D35">
        <w:rPr>
          <w:rStyle w:val="Nmerodepgina1"/>
          <w:rFonts w:ascii="Gill Sans MT" w:eastAsia="Gill Sans MT" w:hAnsi="Gill Sans MT" w:cs="Gill Sans MT"/>
          <w:i/>
          <w:lang w:val="it-IT"/>
        </w:rPr>
        <w:t xml:space="preserve">Action – KA107- </w:t>
      </w:r>
      <w:r w:rsidRPr="002D72FD">
        <w:rPr>
          <w:rStyle w:val="Nmerodepgina1"/>
          <w:rFonts w:ascii="Gill Sans MT" w:eastAsia="Gill Sans MT" w:hAnsi="Gill Sans MT" w:cs="Gill Sans MT"/>
          <w:i/>
          <w:lang w:val="it-IT"/>
        </w:rPr>
        <w:t>Student and staff mobility between Programme and Partner Countries</w:t>
      </w:r>
      <w:r w:rsidRPr="00713D35">
        <w:rPr>
          <w:rStyle w:val="Nmerodepgina1"/>
          <w:rFonts w:ascii="Gill Sans MT" w:eastAsia="Gill Sans MT" w:hAnsi="Gill Sans MT" w:cs="Gill Sans MT"/>
          <w:lang w:val="it-IT"/>
        </w:rPr>
        <w:t xml:space="preserve">, as long as, all the listed requirements are fulfilled by the applicant and </w:t>
      </w:r>
      <w:r>
        <w:rPr>
          <w:rStyle w:val="Nmerodepgina1"/>
          <w:rFonts w:ascii="Gill Sans MT" w:eastAsia="Gill Sans MT" w:hAnsi="Gill Sans MT" w:cs="Gill Sans MT"/>
          <w:lang w:val="it-IT"/>
        </w:rPr>
        <w:t xml:space="preserve">the </w:t>
      </w:r>
      <w:r w:rsidRPr="00713D35">
        <w:rPr>
          <w:rStyle w:val="Nmerodepgina1"/>
          <w:rFonts w:ascii="Gill Sans MT" w:eastAsia="Gill Sans MT" w:hAnsi="Gill Sans MT" w:cs="Gill Sans MT"/>
          <w:lang w:val="it-IT"/>
        </w:rPr>
        <w:t xml:space="preserve">funds </w:t>
      </w:r>
      <w:r>
        <w:rPr>
          <w:rStyle w:val="Nmerodepgina1"/>
          <w:rFonts w:ascii="Gill Sans MT" w:eastAsia="Gill Sans MT" w:hAnsi="Gill Sans MT" w:cs="Gill Sans MT"/>
          <w:lang w:val="it-IT"/>
        </w:rPr>
        <w:t xml:space="preserve">of the partner country region </w:t>
      </w:r>
      <w:r w:rsidRPr="00713D35">
        <w:rPr>
          <w:rStyle w:val="Nmerodepgina1"/>
          <w:rFonts w:ascii="Gill Sans MT" w:eastAsia="Gill Sans MT" w:hAnsi="Gill Sans MT" w:cs="Gill Sans MT"/>
          <w:lang w:val="it-IT"/>
        </w:rPr>
        <w:t xml:space="preserve">are available for this purpose. </w:t>
      </w:r>
    </w:p>
    <w:p w14:paraId="054E4E89" w14:textId="77777777" w:rsidR="00C63327" w:rsidRPr="00713D35" w:rsidRDefault="00C63327" w:rsidP="00C63327">
      <w:pPr>
        <w:pStyle w:val="Body"/>
        <w:spacing w:after="0" w:line="360" w:lineRule="auto"/>
        <w:jc w:val="both"/>
        <w:rPr>
          <w:rStyle w:val="Nmerodepgina1"/>
          <w:rFonts w:ascii="Gill Sans MT" w:eastAsia="Gill Sans MT" w:hAnsi="Gill Sans MT" w:cs="Gill Sans MT"/>
          <w:lang w:val="it-IT"/>
        </w:rPr>
      </w:pPr>
    </w:p>
    <w:p w14:paraId="2827A3C1" w14:textId="77777777" w:rsidR="00C63327" w:rsidRPr="00713D35" w:rsidRDefault="00C63327" w:rsidP="00C63327">
      <w:pPr>
        <w:pStyle w:val="Body"/>
        <w:spacing w:after="0" w:line="360" w:lineRule="auto"/>
        <w:jc w:val="both"/>
        <w:rPr>
          <w:rStyle w:val="Nmerodepgina1"/>
          <w:rFonts w:ascii="Gill Sans MT" w:eastAsia="Gill Sans MT" w:hAnsi="Gill Sans MT" w:cs="Gill Sans MT"/>
          <w:color w:val="C56015"/>
          <w:u w:color="C56015"/>
          <w:lang w:val="en-US"/>
        </w:rPr>
      </w:pPr>
      <w:r w:rsidRPr="00713D35">
        <w:rPr>
          <w:rStyle w:val="Nmerodepgina1"/>
          <w:rFonts w:ascii="Gill Sans MT" w:eastAsia="Gill Sans MT" w:hAnsi="Gill Sans MT" w:cs="Gill Sans MT"/>
          <w:lang w:val="it-IT"/>
        </w:rPr>
        <w:t>The methodology to calculate the funding is based on the budget demanded in the application form, on the type and/or grade of the special need of the beneficiary, as well as the availability of the financial resources of the NA.</w:t>
      </w:r>
    </w:p>
    <w:p w14:paraId="13C1EF9E" w14:textId="77777777" w:rsidR="00C63327" w:rsidRPr="00713D35" w:rsidRDefault="00C63327" w:rsidP="00C63327">
      <w:pPr>
        <w:pStyle w:val="Body"/>
        <w:spacing w:after="0"/>
        <w:jc w:val="both"/>
        <w:rPr>
          <w:rStyle w:val="Nmerodepgina1"/>
          <w:rFonts w:ascii="Gill Sans MT" w:eastAsia="Gill Sans MT" w:hAnsi="Gill Sans MT" w:cs="Gill Sans MT"/>
          <w:lang w:val="en-US"/>
        </w:rPr>
      </w:pPr>
    </w:p>
    <w:p w14:paraId="12124556" w14:textId="77777777" w:rsidR="00C63327" w:rsidRPr="00713D35" w:rsidRDefault="00C63327" w:rsidP="00C63327">
      <w:pPr>
        <w:pStyle w:val="Body"/>
        <w:spacing w:line="360" w:lineRule="auto"/>
        <w:jc w:val="both"/>
        <w:rPr>
          <w:rStyle w:val="Nmerodepgina1"/>
          <w:rFonts w:ascii="Gill Sans MT" w:eastAsia="Gill Sans MT" w:hAnsi="Gill Sans MT" w:cs="Gill Sans MT"/>
          <w:b/>
          <w:bCs/>
          <w:lang w:val="en-US"/>
        </w:rPr>
      </w:pPr>
      <w:r w:rsidRPr="00713D35">
        <w:rPr>
          <w:rStyle w:val="Nmerodepgina1"/>
          <w:rFonts w:ascii="Gill Sans MT" w:eastAsia="Gill Sans MT" w:hAnsi="Gill Sans MT" w:cs="Gill Sans MT"/>
          <w:lang w:val="it-IT"/>
        </w:rPr>
        <w:t>The amount of the additional fund to be assigned will be based on an e</w:t>
      </w:r>
      <w:r w:rsidRPr="00713D35">
        <w:rPr>
          <w:rStyle w:val="Nmerodepgina1"/>
          <w:rFonts w:ascii="Gill Sans MT" w:eastAsia="Gill Sans MT" w:hAnsi="Gill Sans MT" w:cs="Gill Sans MT"/>
          <w:b/>
          <w:bCs/>
          <w:lang w:val="it-IT"/>
        </w:rPr>
        <w:t xml:space="preserve">stimate of actual costs </w:t>
      </w:r>
      <w:r w:rsidRPr="00713D35">
        <w:rPr>
          <w:rStyle w:val="Nmerodepgina1"/>
          <w:rFonts w:ascii="Gill Sans MT" w:eastAsia="Gill Sans MT" w:hAnsi="Gill Sans MT" w:cs="Gill Sans MT"/>
          <w:lang w:val="it-IT"/>
        </w:rPr>
        <w:t>defined at the moment of the application, and it will not be assigned after the mobility, once it is necessary to fulfil it.</w:t>
      </w:r>
    </w:p>
    <w:p w14:paraId="61FAABEA" w14:textId="77777777" w:rsidR="00C63327" w:rsidRPr="00713D35" w:rsidRDefault="00C63327" w:rsidP="00C63327">
      <w:pPr>
        <w:pStyle w:val="Body"/>
        <w:spacing w:line="360" w:lineRule="auto"/>
        <w:jc w:val="both"/>
        <w:rPr>
          <w:rStyle w:val="Nmerodepgina1"/>
          <w:rFonts w:ascii="Gill Sans MT" w:eastAsia="Gill Sans MT" w:hAnsi="Gill Sans MT" w:cs="Gill Sans MT"/>
          <w:lang w:val="en-US"/>
        </w:rPr>
      </w:pPr>
      <w:r w:rsidRPr="00713D35">
        <w:rPr>
          <w:rStyle w:val="Nmerodepgina1"/>
          <w:rFonts w:ascii="Gill Sans MT" w:eastAsia="Gill Sans MT" w:hAnsi="Gill Sans MT" w:cs="Gill Sans MT"/>
          <w:lang w:val="it-IT"/>
        </w:rPr>
        <w:t>However, the calculation for the allocation of this financial support will be done taking into account the following elements:</w:t>
      </w:r>
    </w:p>
    <w:p w14:paraId="68A20845" w14:textId="77777777" w:rsidR="00C63327" w:rsidRPr="00673FDC" w:rsidRDefault="00C63327" w:rsidP="00C63327">
      <w:pPr>
        <w:pStyle w:val="Body"/>
        <w:spacing w:line="360" w:lineRule="auto"/>
        <w:jc w:val="both"/>
        <w:rPr>
          <w:rStyle w:val="Nmerodepgina1"/>
          <w:rFonts w:ascii="Gill Sans MT" w:eastAsia="Gill Sans MT" w:hAnsi="Gill Sans MT" w:cs="Gill Sans MT"/>
          <w:lang w:val="it-IT"/>
        </w:rPr>
      </w:pPr>
      <w:r w:rsidRPr="00713D35">
        <w:rPr>
          <w:rStyle w:val="Nmerodepgina1"/>
          <w:rFonts w:ascii="Gill Sans MT" w:eastAsia="Gill Sans MT" w:hAnsi="Gill Sans MT" w:cs="Gill Sans MT"/>
          <w:lang w:val="it-IT"/>
        </w:rPr>
        <w:t xml:space="preserve">1) </w:t>
      </w:r>
      <w:r w:rsidRPr="00713D35">
        <w:rPr>
          <w:rStyle w:val="Nmerodepgina1"/>
          <w:rFonts w:ascii="Gill Sans MT" w:eastAsia="Gill Sans MT" w:hAnsi="Gill Sans MT" w:cs="Gill Sans MT"/>
          <w:b/>
          <w:bCs/>
          <w:lang w:val="it-IT"/>
        </w:rPr>
        <w:t>Special Need without identification of degree, or Special Need until 50%</w:t>
      </w:r>
      <w:r w:rsidRPr="00713D35">
        <w:rPr>
          <w:rStyle w:val="Nmerodepgina1"/>
          <w:rFonts w:ascii="Gill Sans MT" w:eastAsia="Gill Sans MT" w:hAnsi="Gill Sans MT" w:cs="Gill Sans MT"/>
          <w:lang w:val="it-IT"/>
        </w:rPr>
        <w:t xml:space="preserve"> (conferred by a medical statement): The maximum amount of the scholarship to be assigned for each month of mobility, cannot exceed</w:t>
      </w:r>
      <w:r>
        <w:rPr>
          <w:rStyle w:val="Nmerodepgina1"/>
          <w:rFonts w:ascii="Gill Sans MT" w:eastAsia="Gill Sans MT" w:hAnsi="Gill Sans MT" w:cs="Gill Sans MT"/>
          <w:lang w:val="it-IT"/>
        </w:rPr>
        <w:t xml:space="preserve"> </w:t>
      </w:r>
      <w:r>
        <w:rPr>
          <w:rStyle w:val="Nmerodepgina1"/>
          <w:rFonts w:ascii="Gill Sans MT" w:eastAsia="Gill Sans MT" w:hAnsi="Gill Sans MT" w:cs="Gill Sans MT"/>
          <w:b/>
          <w:bCs/>
          <w:lang w:val="it-IT"/>
        </w:rPr>
        <w:t xml:space="preserve">the percentages applied </w:t>
      </w:r>
      <w:r w:rsidRPr="00505661">
        <w:rPr>
          <w:rStyle w:val="Nmerodepgina1"/>
          <w:rFonts w:ascii="Gill Sans MT" w:eastAsia="Gill Sans MT" w:hAnsi="Gill Sans MT" w:cs="Gill Sans MT"/>
          <w:bCs/>
          <w:lang w:val="it-IT"/>
        </w:rPr>
        <w:t>to the</w:t>
      </w:r>
      <w:r w:rsidRPr="00713D35">
        <w:rPr>
          <w:rStyle w:val="Nmerodepgina1"/>
          <w:rFonts w:ascii="Gill Sans MT" w:eastAsia="Gill Sans MT" w:hAnsi="Gill Sans MT" w:cs="Gill Sans MT"/>
          <w:lang w:val="it-IT"/>
        </w:rPr>
        <w:t xml:space="preserve"> </w:t>
      </w:r>
      <w:r>
        <w:rPr>
          <w:rStyle w:val="Nmerodepgina1"/>
          <w:rFonts w:ascii="Gill Sans MT" w:eastAsia="Gill Sans MT" w:hAnsi="Gill Sans MT" w:cs="Gill Sans MT"/>
          <w:lang w:val="it-IT"/>
        </w:rPr>
        <w:t>reference values</w:t>
      </w:r>
      <w:r w:rsidRPr="00713D35">
        <w:rPr>
          <w:rStyle w:val="Nmerodepgina1"/>
          <w:rFonts w:ascii="Gill Sans MT" w:eastAsia="Gill Sans MT" w:hAnsi="Gill Sans MT" w:cs="Gill Sans MT"/>
          <w:lang w:val="it-IT"/>
        </w:rPr>
        <w:t xml:space="preserve"> of the </w:t>
      </w:r>
      <w:r>
        <w:rPr>
          <w:rStyle w:val="Nmerodepgina1"/>
          <w:rFonts w:ascii="Gill Sans MT" w:eastAsia="Gill Sans MT" w:hAnsi="Gill Sans MT" w:cs="Gill Sans MT"/>
          <w:lang w:val="it-IT"/>
        </w:rPr>
        <w:t>individual support</w:t>
      </w:r>
      <w:r w:rsidRPr="00713D35">
        <w:rPr>
          <w:rStyle w:val="Nmerodepgina1"/>
          <w:rFonts w:ascii="Gill Sans MT" w:eastAsia="Gill Sans MT" w:hAnsi="Gill Sans MT" w:cs="Gill Sans MT"/>
          <w:lang w:val="it-IT"/>
        </w:rPr>
        <w:t xml:space="preserve"> </w:t>
      </w:r>
      <w:r>
        <w:rPr>
          <w:rStyle w:val="Nmerodepgina1"/>
          <w:rFonts w:ascii="Gill Sans MT" w:eastAsia="Gill Sans MT" w:hAnsi="Gill Sans MT" w:cs="Gill Sans MT"/>
          <w:lang w:val="it-IT"/>
        </w:rPr>
        <w:t>awarded for the mobility.</w:t>
      </w:r>
    </w:p>
    <w:p w14:paraId="2B243E39" w14:textId="77777777" w:rsidR="00C63327" w:rsidRPr="00673FDC" w:rsidRDefault="00C63327" w:rsidP="00C63327">
      <w:pPr>
        <w:pStyle w:val="Body"/>
        <w:spacing w:line="360" w:lineRule="auto"/>
        <w:jc w:val="both"/>
        <w:rPr>
          <w:rStyle w:val="Nmerodepgina1"/>
          <w:rFonts w:ascii="Gill Sans MT" w:eastAsia="Gill Sans MT" w:hAnsi="Gill Sans MT" w:cs="Gill Sans MT"/>
          <w:lang w:val="it-IT"/>
        </w:rPr>
      </w:pPr>
      <w:r w:rsidRPr="00713D35">
        <w:rPr>
          <w:rStyle w:val="Nmerodepgina1"/>
          <w:rFonts w:ascii="Gill Sans MT" w:eastAsia="Gill Sans MT" w:hAnsi="Gill Sans MT" w:cs="Gill Sans MT"/>
          <w:b/>
          <w:bCs/>
          <w:lang w:val="en-US"/>
        </w:rPr>
        <w:t>2)</w:t>
      </w:r>
      <w:r w:rsidRPr="00713D35">
        <w:rPr>
          <w:rStyle w:val="Nmerodepgina1"/>
          <w:rFonts w:ascii="Gill Sans MT" w:eastAsia="Gill Sans MT" w:hAnsi="Gill Sans MT" w:cs="Gill Sans MT"/>
          <w:lang w:val="en-US"/>
        </w:rPr>
        <w:t xml:space="preserve"> </w:t>
      </w:r>
      <w:r w:rsidRPr="00713D35">
        <w:rPr>
          <w:rStyle w:val="Nmerodepgina1"/>
          <w:rFonts w:ascii="Gill Sans MT" w:eastAsia="Gill Sans MT" w:hAnsi="Gill Sans MT" w:cs="Gill Sans MT"/>
          <w:b/>
          <w:bCs/>
          <w:lang w:val="it-IT"/>
        </w:rPr>
        <w:t xml:space="preserve">Special Need identified with a degree equal to or higher than 51% </w:t>
      </w:r>
      <w:r w:rsidRPr="00713D35">
        <w:rPr>
          <w:rStyle w:val="Nmerodepgina1"/>
          <w:rFonts w:ascii="Gill Sans MT" w:eastAsia="Gill Sans MT" w:hAnsi="Gill Sans MT" w:cs="Gill Sans MT"/>
          <w:lang w:val="it-IT"/>
        </w:rPr>
        <w:t xml:space="preserve">(proven by a medical statement): The maximum amount of the scholarship to be assigned for each month of mobility, cannot exceed </w:t>
      </w:r>
      <w:r>
        <w:rPr>
          <w:rStyle w:val="Nmerodepgina1"/>
          <w:rFonts w:ascii="Gill Sans MT" w:eastAsia="Gill Sans MT" w:hAnsi="Gill Sans MT" w:cs="Gill Sans MT"/>
          <w:b/>
          <w:bCs/>
          <w:lang w:val="it-IT"/>
        </w:rPr>
        <w:t xml:space="preserve">the percentages applied </w:t>
      </w:r>
      <w:r w:rsidRPr="00505661">
        <w:rPr>
          <w:rStyle w:val="Nmerodepgina1"/>
          <w:rFonts w:ascii="Gill Sans MT" w:eastAsia="Gill Sans MT" w:hAnsi="Gill Sans MT" w:cs="Gill Sans MT"/>
          <w:bCs/>
          <w:lang w:val="it-IT"/>
        </w:rPr>
        <w:t>to the</w:t>
      </w:r>
      <w:r w:rsidRPr="00713D35">
        <w:rPr>
          <w:rStyle w:val="Nmerodepgina1"/>
          <w:rFonts w:ascii="Gill Sans MT" w:eastAsia="Gill Sans MT" w:hAnsi="Gill Sans MT" w:cs="Gill Sans MT"/>
          <w:lang w:val="it-IT"/>
        </w:rPr>
        <w:t xml:space="preserve"> </w:t>
      </w:r>
      <w:r>
        <w:rPr>
          <w:rStyle w:val="Nmerodepgina1"/>
          <w:rFonts w:ascii="Gill Sans MT" w:eastAsia="Gill Sans MT" w:hAnsi="Gill Sans MT" w:cs="Gill Sans MT"/>
          <w:lang w:val="it-IT"/>
        </w:rPr>
        <w:t>reference values</w:t>
      </w:r>
      <w:r w:rsidRPr="00713D35">
        <w:rPr>
          <w:rStyle w:val="Nmerodepgina1"/>
          <w:rFonts w:ascii="Gill Sans MT" w:eastAsia="Gill Sans MT" w:hAnsi="Gill Sans MT" w:cs="Gill Sans MT"/>
          <w:lang w:val="it-IT"/>
        </w:rPr>
        <w:t xml:space="preserve"> of the </w:t>
      </w:r>
      <w:r>
        <w:rPr>
          <w:rStyle w:val="Nmerodepgina1"/>
          <w:rFonts w:ascii="Gill Sans MT" w:eastAsia="Gill Sans MT" w:hAnsi="Gill Sans MT" w:cs="Gill Sans MT"/>
          <w:lang w:val="it-IT"/>
        </w:rPr>
        <w:t>individual support</w:t>
      </w:r>
      <w:r w:rsidRPr="00713D35">
        <w:rPr>
          <w:rStyle w:val="Nmerodepgina1"/>
          <w:rFonts w:ascii="Gill Sans MT" w:eastAsia="Gill Sans MT" w:hAnsi="Gill Sans MT" w:cs="Gill Sans MT"/>
          <w:lang w:val="it-IT"/>
        </w:rPr>
        <w:t xml:space="preserve"> </w:t>
      </w:r>
      <w:r>
        <w:rPr>
          <w:rStyle w:val="Nmerodepgina1"/>
          <w:rFonts w:ascii="Gill Sans MT" w:eastAsia="Gill Sans MT" w:hAnsi="Gill Sans MT" w:cs="Gill Sans MT"/>
          <w:lang w:val="it-IT"/>
        </w:rPr>
        <w:t>awarded for the mobility.</w:t>
      </w:r>
    </w:p>
    <w:p w14:paraId="2873CD8D" w14:textId="77777777" w:rsidR="00C63327" w:rsidRPr="00505661" w:rsidRDefault="00C63327" w:rsidP="00C63327">
      <w:pPr>
        <w:pStyle w:val="Body"/>
        <w:tabs>
          <w:tab w:val="left" w:pos="2842"/>
          <w:tab w:val="left" w:pos="5685"/>
        </w:tabs>
        <w:spacing w:after="0" w:line="360" w:lineRule="auto"/>
        <w:jc w:val="both"/>
        <w:rPr>
          <w:rStyle w:val="Nmerodepgina1"/>
          <w:rFonts w:ascii="Gill Sans MT" w:eastAsia="Gill Sans MT" w:hAnsi="Gill Sans MT" w:cs="Gill Sans MT"/>
          <w:color w:val="auto"/>
          <w:lang w:val="en-US"/>
        </w:rPr>
      </w:pPr>
      <w:r w:rsidRPr="00505661">
        <w:rPr>
          <w:rStyle w:val="Nmerodepgina1"/>
          <w:rFonts w:ascii="Gill Sans MT" w:eastAsia="Gill Sans MT" w:hAnsi="Gill Sans MT" w:cs="Gill Sans MT"/>
          <w:color w:val="auto"/>
          <w:lang w:val="it-IT"/>
        </w:rPr>
        <w:t xml:space="preserve">Nevertheless, as indicated in line a) of Article I.12, SUPPORT TO THE PARTICIPANTS, included in the financial contract signed by the National Agency with the HEI, the </w:t>
      </w:r>
      <w:r w:rsidRPr="00505661">
        <w:rPr>
          <w:rStyle w:val="Nmerodepgina1"/>
          <w:rFonts w:ascii="Gill Sans MT" w:eastAsia="Gill Sans MT" w:hAnsi="Gill Sans MT" w:cs="Gill Sans MT"/>
          <w:b/>
          <w:bCs/>
          <w:color w:val="auto"/>
          <w:lang w:val="it-IT"/>
        </w:rPr>
        <w:t>maximum amount of the total financing</w:t>
      </w:r>
      <w:r w:rsidRPr="00505661">
        <w:rPr>
          <w:rStyle w:val="Nmerodepgina1"/>
          <w:rFonts w:ascii="Gill Sans MT" w:eastAsia="Gill Sans MT" w:hAnsi="Gill Sans MT" w:cs="Gill Sans MT"/>
          <w:color w:val="auto"/>
          <w:lang w:val="it-IT"/>
        </w:rPr>
        <w:t xml:space="preserve"> given to a beneficiary “</w:t>
      </w:r>
      <w:r w:rsidRPr="00505661">
        <w:rPr>
          <w:rStyle w:val="Nmerodepgina1"/>
          <w:rFonts w:ascii="Gill Sans MT" w:eastAsia="Gill Sans MT" w:hAnsi="Gill Sans MT" w:cs="Gill Sans MT"/>
          <w:b/>
          <w:bCs/>
          <w:i/>
          <w:iCs/>
          <w:color w:val="auto"/>
          <w:lang w:val="it-IT"/>
        </w:rPr>
        <w:t xml:space="preserve">cannot exceed </w:t>
      </w:r>
      <w:r w:rsidRPr="00505661">
        <w:rPr>
          <w:rStyle w:val="Nmerodepgina1"/>
          <w:rFonts w:ascii="Gill Sans MT" w:eastAsia="Gill Sans MT" w:hAnsi="Gill Sans MT" w:cs="Gill Sans MT"/>
          <w:b/>
          <w:bCs/>
          <w:i/>
          <w:iCs/>
          <w:color w:val="auto"/>
          <w:u w:color="333333"/>
          <w:lang w:val="en-US"/>
        </w:rPr>
        <w:t>€ 60.000”</w:t>
      </w:r>
    </w:p>
    <w:p w14:paraId="7DA16094" w14:textId="77777777" w:rsidR="00C63327" w:rsidRPr="00505661" w:rsidRDefault="00C63327" w:rsidP="00C63327">
      <w:pPr>
        <w:pStyle w:val="Body"/>
        <w:tabs>
          <w:tab w:val="left" w:pos="2842"/>
          <w:tab w:val="left" w:pos="5685"/>
        </w:tabs>
        <w:spacing w:after="0" w:line="360" w:lineRule="auto"/>
        <w:jc w:val="both"/>
        <w:rPr>
          <w:rStyle w:val="Nmerodepgina1"/>
          <w:rFonts w:ascii="Gill Sans MT" w:eastAsia="Gill Sans MT" w:hAnsi="Gill Sans MT" w:cs="Gill Sans MT"/>
          <w:color w:val="auto"/>
          <w:u w:color="333333"/>
          <w:lang w:val="en-US"/>
        </w:rPr>
      </w:pPr>
    </w:p>
    <w:p w14:paraId="3302FD1C" w14:textId="77777777" w:rsidR="00C63327" w:rsidRPr="00505661" w:rsidRDefault="00C63327" w:rsidP="00C63327">
      <w:pPr>
        <w:pStyle w:val="Body"/>
        <w:tabs>
          <w:tab w:val="left" w:pos="2842"/>
          <w:tab w:val="left" w:pos="5685"/>
        </w:tabs>
        <w:spacing w:after="0" w:line="360" w:lineRule="auto"/>
        <w:jc w:val="both"/>
        <w:rPr>
          <w:rStyle w:val="Nmerodepgina1"/>
          <w:rFonts w:ascii="Gill Sans MT" w:eastAsia="Gill Sans MT" w:hAnsi="Gill Sans MT" w:cs="Gill Sans MT"/>
          <w:color w:val="auto"/>
          <w:u w:color="333333"/>
          <w:lang w:val="en-US"/>
        </w:rPr>
      </w:pPr>
      <w:r w:rsidRPr="00505661">
        <w:rPr>
          <w:rStyle w:val="Nmerodepgina1"/>
          <w:rFonts w:ascii="Gill Sans MT" w:eastAsia="Gill Sans MT" w:hAnsi="Gill Sans MT" w:cs="Gill Sans MT"/>
          <w:color w:val="auto"/>
          <w:u w:color="333333"/>
          <w:lang w:val="it-IT"/>
        </w:rPr>
        <w:t xml:space="preserve">It is also important to point out that </w:t>
      </w:r>
      <w:r w:rsidRPr="00505661">
        <w:rPr>
          <w:rStyle w:val="Nmerodepgina1"/>
          <w:rFonts w:ascii="Gill Sans MT" w:eastAsia="Gill Sans MT" w:hAnsi="Gill Sans MT" w:cs="Gill Sans MT"/>
          <w:b/>
          <w:color w:val="auto"/>
          <w:u w:val="single"/>
          <w:lang w:val="it-IT"/>
        </w:rPr>
        <w:t>t</w:t>
      </w:r>
      <w:r w:rsidRPr="00505661">
        <w:rPr>
          <w:rStyle w:val="Nmerodepgina1"/>
          <w:rFonts w:ascii="Gill Sans MT" w:eastAsia="Gill Sans MT" w:hAnsi="Gill Sans MT" w:cs="Gill Sans MT"/>
          <w:b/>
          <w:bCs/>
          <w:color w:val="auto"/>
          <w:u w:val="single" w:color="333333"/>
          <w:lang w:val="it-IT"/>
        </w:rPr>
        <w:t xml:space="preserve">he costs of the purchased lasting equipments </w:t>
      </w:r>
      <w:r w:rsidRPr="00505661">
        <w:rPr>
          <w:rStyle w:val="Nmerodepgina1"/>
          <w:rFonts w:ascii="Gill Sans MT" w:eastAsia="Gill Sans MT" w:hAnsi="Gill Sans MT" w:cs="Gill Sans MT"/>
          <w:color w:val="auto"/>
          <w:u w:color="333333"/>
          <w:lang w:val="it-IT"/>
        </w:rPr>
        <w:t xml:space="preserve">(for example, hardware, software, etc.) </w:t>
      </w:r>
      <w:r w:rsidRPr="00505661">
        <w:rPr>
          <w:rStyle w:val="Nmerodepgina1"/>
          <w:rFonts w:ascii="Gill Sans MT" w:eastAsia="Gill Sans MT" w:hAnsi="Gill Sans MT" w:cs="Gill Sans MT"/>
          <w:b/>
          <w:bCs/>
          <w:color w:val="auto"/>
          <w:u w:val="single" w:color="333333"/>
          <w:lang w:val="it-IT"/>
        </w:rPr>
        <w:t>are not eligible</w:t>
      </w:r>
      <w:r w:rsidRPr="00505661">
        <w:rPr>
          <w:rStyle w:val="Nmerodepgina1"/>
          <w:rFonts w:ascii="Gill Sans MT" w:eastAsia="Gill Sans MT" w:hAnsi="Gill Sans MT" w:cs="Gill Sans MT"/>
          <w:color w:val="auto"/>
          <w:u w:color="333333"/>
          <w:lang w:val="it-IT"/>
        </w:rPr>
        <w:t>.</w:t>
      </w:r>
      <w:r>
        <w:rPr>
          <w:rStyle w:val="Nmerodepgina1"/>
          <w:rFonts w:ascii="Gill Sans MT" w:eastAsia="Gill Sans MT" w:hAnsi="Gill Sans MT" w:cs="Gill Sans MT"/>
          <w:color w:val="auto"/>
          <w:u w:color="333333"/>
          <w:lang w:val="en-US"/>
        </w:rPr>
        <w:t xml:space="preserve"> </w:t>
      </w:r>
      <w:r w:rsidRPr="00505661">
        <w:rPr>
          <w:rStyle w:val="Nmerodepgina1"/>
          <w:rFonts w:ascii="Gill Sans MT" w:eastAsia="Gill Sans MT" w:hAnsi="Gill Sans MT" w:cs="Gill Sans MT"/>
          <w:color w:val="auto"/>
          <w:u w:color="333333"/>
          <w:lang w:val="it-IT"/>
        </w:rPr>
        <w:t>The host organisation should insure the conditions and the necessary equipment for the good execution of the mobility.</w:t>
      </w:r>
    </w:p>
    <w:p w14:paraId="14B4F204" w14:textId="77777777" w:rsidR="00C63327" w:rsidRPr="00C63327" w:rsidRDefault="00C63327" w:rsidP="00E859E0">
      <w:pPr>
        <w:rPr>
          <w:lang w:val="en-US"/>
        </w:rPr>
      </w:pPr>
    </w:p>
    <w:p w14:paraId="7CB54AEE" w14:textId="48501E4A" w:rsidR="00C63327" w:rsidRDefault="00C63327" w:rsidP="00E859E0">
      <w:pPr>
        <w:rPr>
          <w:lang w:val="en-US"/>
        </w:rPr>
      </w:pPr>
    </w:p>
    <w:p w14:paraId="44A6D825" w14:textId="4FBEE66C" w:rsidR="00E859E0" w:rsidRDefault="00E859E0" w:rsidP="00E859E0">
      <w:pPr>
        <w:rPr>
          <w:lang w:val="en-US"/>
        </w:rPr>
      </w:pPr>
    </w:p>
    <w:p w14:paraId="699A950C" w14:textId="6A54E910" w:rsidR="00E859E0" w:rsidRDefault="00E859E0" w:rsidP="00E859E0">
      <w:pPr>
        <w:rPr>
          <w:lang w:val="en-US"/>
        </w:rPr>
      </w:pPr>
    </w:p>
    <w:p w14:paraId="567E06BE" w14:textId="77777777" w:rsidR="00E859E0" w:rsidRDefault="00E859E0" w:rsidP="00E859E0">
      <w:pPr>
        <w:rPr>
          <w:lang w:val="en-US"/>
        </w:rPr>
      </w:pPr>
    </w:p>
    <w:p w14:paraId="2F2EAF90" w14:textId="77777777" w:rsidR="00C63327" w:rsidRDefault="00C63327" w:rsidP="00E859E0">
      <w:pPr>
        <w:rPr>
          <w:lang w:val="en-GB"/>
        </w:rPr>
      </w:pPr>
    </w:p>
    <w:p w14:paraId="405576E4" w14:textId="3BD5917F" w:rsidR="00F4202E" w:rsidRPr="00F4202E" w:rsidRDefault="00F4202E" w:rsidP="00E859E0">
      <w:pPr>
        <w:rPr>
          <w:lang w:val="en-GB"/>
        </w:rPr>
      </w:pPr>
      <w:r w:rsidRPr="00F4202E">
        <w:rPr>
          <w:lang w:val="en-GB"/>
        </w:rPr>
        <w:t>Flat Rates for Student Mobility Participants</w:t>
      </w:r>
    </w:p>
    <w:p w14:paraId="29BEE9F0" w14:textId="77777777" w:rsidR="00510916" w:rsidRPr="00F4202E" w:rsidRDefault="00510916" w:rsidP="00E859E0">
      <w:pPr>
        <w:rPr>
          <w:lang w:val="en-GB"/>
        </w:rPr>
      </w:pPr>
    </w:p>
    <w:tbl>
      <w:tblPr>
        <w:tblW w:w="5000" w:type="pct"/>
        <w:tblCellMar>
          <w:left w:w="70" w:type="dxa"/>
          <w:right w:w="70" w:type="dxa"/>
        </w:tblCellMar>
        <w:tblLook w:val="04A0" w:firstRow="1" w:lastRow="0" w:firstColumn="1" w:lastColumn="0" w:noHBand="0" w:noVBand="1"/>
      </w:tblPr>
      <w:tblGrid>
        <w:gridCol w:w="1148"/>
        <w:gridCol w:w="1804"/>
        <w:gridCol w:w="4549"/>
        <w:gridCol w:w="993"/>
      </w:tblGrid>
      <w:tr w:rsidR="009C098E" w:rsidRPr="00E859E0" w14:paraId="0155E9EE" w14:textId="77777777" w:rsidTr="009C098E">
        <w:trPr>
          <w:trHeight w:val="1151"/>
        </w:trPr>
        <w:tc>
          <w:tcPr>
            <w:tcW w:w="1250"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1C215F40" w14:textId="77777777" w:rsidR="009C098E" w:rsidRPr="00F4202E" w:rsidRDefault="009C098E" w:rsidP="00E859E0">
            <w:proofErr w:type="spellStart"/>
            <w:r w:rsidRPr="00F4202E">
              <w:t>Direction</w:t>
            </w:r>
            <w:proofErr w:type="spellEnd"/>
          </w:p>
          <w:p w14:paraId="474FE388" w14:textId="77777777" w:rsidR="009C098E" w:rsidRPr="00F4202E" w:rsidRDefault="009C098E" w:rsidP="00E859E0">
            <w:proofErr w:type="spellStart"/>
            <w:r w:rsidRPr="00F4202E">
              <w:t>of</w:t>
            </w:r>
            <w:proofErr w:type="spellEnd"/>
            <w:r w:rsidRPr="00F4202E">
              <w:t xml:space="preserve"> </w:t>
            </w:r>
            <w:proofErr w:type="spellStart"/>
            <w:r w:rsidRPr="00F4202E">
              <w:t>mobility</w:t>
            </w:r>
            <w:proofErr w:type="spellEnd"/>
          </w:p>
        </w:tc>
        <w:tc>
          <w:tcPr>
            <w:tcW w:w="1250" w:type="pct"/>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14:paraId="5ED8A49B" w14:textId="77777777" w:rsidR="009C098E" w:rsidRPr="00F4202E" w:rsidRDefault="009C098E" w:rsidP="00E859E0">
            <w:proofErr w:type="spellStart"/>
            <w:r w:rsidRPr="00F4202E">
              <w:t>Degree</w:t>
            </w:r>
            <w:proofErr w:type="spellEnd"/>
            <w:r w:rsidRPr="00F4202E">
              <w:t xml:space="preserve"> </w:t>
            </w:r>
            <w:proofErr w:type="spellStart"/>
            <w:r w:rsidRPr="00F4202E">
              <w:t>of</w:t>
            </w:r>
            <w:proofErr w:type="spellEnd"/>
            <w:r w:rsidRPr="00F4202E">
              <w:t xml:space="preserve"> </w:t>
            </w:r>
            <w:proofErr w:type="spellStart"/>
            <w:r w:rsidRPr="00F4202E">
              <w:t>Disability</w:t>
            </w:r>
            <w:proofErr w:type="spellEnd"/>
          </w:p>
        </w:tc>
        <w:tc>
          <w:tcPr>
            <w:tcW w:w="1250" w:type="pct"/>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14:paraId="382FC419" w14:textId="77777777" w:rsidR="009C098E" w:rsidRPr="00F4202E" w:rsidRDefault="009C098E" w:rsidP="00E859E0">
            <w:r w:rsidRPr="00F4202E">
              <w:t>Flat Rate</w:t>
            </w:r>
          </w:p>
        </w:tc>
        <w:tc>
          <w:tcPr>
            <w:tcW w:w="1250" w:type="pct"/>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1B82BB3E" w14:textId="77777777" w:rsidR="009C098E" w:rsidRPr="00F4202E" w:rsidRDefault="009C098E" w:rsidP="00E859E0">
            <w:pPr>
              <w:rPr>
                <w:lang w:val="en-GB"/>
              </w:rPr>
            </w:pPr>
            <w:r w:rsidRPr="00F4202E">
              <w:rPr>
                <w:lang w:val="en-GB"/>
              </w:rPr>
              <w:t>Individual Support – Maximum values awarded / per month</w:t>
            </w:r>
          </w:p>
        </w:tc>
      </w:tr>
      <w:tr w:rsidR="009C098E" w:rsidRPr="00510916" w14:paraId="19A8F01D" w14:textId="77777777" w:rsidTr="009C098E">
        <w:trPr>
          <w:trHeight w:val="288"/>
        </w:trPr>
        <w:tc>
          <w:tcPr>
            <w:tcW w:w="125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7FC0FF9" w14:textId="77777777" w:rsidR="009C098E" w:rsidRPr="00F4202E" w:rsidRDefault="009C098E" w:rsidP="00E859E0">
            <w:proofErr w:type="spellStart"/>
            <w:r w:rsidRPr="00F4202E">
              <w:t>Incoming</w:t>
            </w:r>
            <w:proofErr w:type="spellEnd"/>
          </w:p>
        </w:tc>
        <w:tc>
          <w:tcPr>
            <w:tcW w:w="1250" w:type="pct"/>
            <w:tcBorders>
              <w:top w:val="nil"/>
              <w:left w:val="nil"/>
              <w:bottom w:val="single" w:sz="4" w:space="0" w:color="auto"/>
              <w:right w:val="single" w:sz="4" w:space="0" w:color="auto"/>
            </w:tcBorders>
            <w:shd w:val="clear" w:color="auto" w:fill="auto"/>
            <w:noWrap/>
            <w:vAlign w:val="center"/>
            <w:hideMark/>
          </w:tcPr>
          <w:p w14:paraId="7BFDAC5B" w14:textId="77777777" w:rsidR="009C098E" w:rsidRPr="00F4202E" w:rsidRDefault="009C098E" w:rsidP="00E859E0">
            <w:r w:rsidRPr="00F4202E">
              <w:t xml:space="preserve">&lt; 50% </w:t>
            </w:r>
            <w:proofErr w:type="spellStart"/>
            <w:r w:rsidRPr="00F4202E">
              <w:t>disable</w:t>
            </w:r>
            <w:r w:rsidR="00396F56">
              <w:t>d</w:t>
            </w:r>
            <w:proofErr w:type="spellEnd"/>
          </w:p>
        </w:tc>
        <w:tc>
          <w:tcPr>
            <w:tcW w:w="1250" w:type="pct"/>
            <w:tcBorders>
              <w:top w:val="nil"/>
              <w:left w:val="nil"/>
              <w:bottom w:val="single" w:sz="4" w:space="0" w:color="auto"/>
              <w:right w:val="single" w:sz="4" w:space="0" w:color="auto"/>
            </w:tcBorders>
            <w:shd w:val="clear" w:color="auto" w:fill="auto"/>
            <w:noWrap/>
            <w:vAlign w:val="center"/>
            <w:hideMark/>
          </w:tcPr>
          <w:p w14:paraId="4DCA0FC0" w14:textId="77777777" w:rsidR="009C098E" w:rsidRPr="00F4202E" w:rsidRDefault="009C098E" w:rsidP="00E859E0">
            <w:pPr>
              <w:rPr>
                <w:lang w:val="en-GB"/>
              </w:rPr>
            </w:pPr>
            <w:r w:rsidRPr="00F4202E">
              <w:rPr>
                <w:lang w:val="en-GB"/>
              </w:rPr>
              <w:t>Up to 25% of the monthly value of individual support</w:t>
            </w:r>
          </w:p>
        </w:tc>
        <w:tc>
          <w:tcPr>
            <w:tcW w:w="1250" w:type="pct"/>
            <w:tcBorders>
              <w:top w:val="nil"/>
              <w:left w:val="nil"/>
              <w:bottom w:val="single" w:sz="4" w:space="0" w:color="auto"/>
              <w:right w:val="single" w:sz="4" w:space="0" w:color="auto"/>
            </w:tcBorders>
            <w:shd w:val="clear" w:color="auto" w:fill="auto"/>
            <w:noWrap/>
            <w:vAlign w:val="center"/>
            <w:hideMark/>
          </w:tcPr>
          <w:p w14:paraId="5BCB19C8" w14:textId="77777777" w:rsidR="009C098E" w:rsidRPr="00F4202E" w:rsidRDefault="009C098E" w:rsidP="00E859E0">
            <w:r w:rsidRPr="00F4202E">
              <w:t>200,00 €</w:t>
            </w:r>
          </w:p>
        </w:tc>
      </w:tr>
      <w:tr w:rsidR="009C098E" w:rsidRPr="00510916" w14:paraId="47B56408" w14:textId="77777777" w:rsidTr="009C098E">
        <w:trPr>
          <w:trHeight w:val="288"/>
        </w:trPr>
        <w:tc>
          <w:tcPr>
            <w:tcW w:w="1250" w:type="pct"/>
            <w:vMerge/>
            <w:tcBorders>
              <w:top w:val="nil"/>
              <w:left w:val="single" w:sz="4" w:space="0" w:color="auto"/>
              <w:bottom w:val="single" w:sz="4" w:space="0" w:color="000000"/>
              <w:right w:val="single" w:sz="4" w:space="0" w:color="auto"/>
            </w:tcBorders>
            <w:vAlign w:val="center"/>
            <w:hideMark/>
          </w:tcPr>
          <w:p w14:paraId="011055F1" w14:textId="77777777" w:rsidR="009C098E" w:rsidRPr="00F4202E" w:rsidRDefault="009C098E" w:rsidP="00E859E0"/>
        </w:tc>
        <w:tc>
          <w:tcPr>
            <w:tcW w:w="1250" w:type="pct"/>
            <w:tcBorders>
              <w:top w:val="nil"/>
              <w:left w:val="nil"/>
              <w:bottom w:val="single" w:sz="4" w:space="0" w:color="auto"/>
              <w:right w:val="single" w:sz="4" w:space="0" w:color="auto"/>
            </w:tcBorders>
            <w:shd w:val="clear" w:color="auto" w:fill="auto"/>
            <w:noWrap/>
            <w:vAlign w:val="center"/>
            <w:hideMark/>
          </w:tcPr>
          <w:p w14:paraId="6ABDA403" w14:textId="77777777" w:rsidR="009C098E" w:rsidRPr="00F4202E" w:rsidRDefault="009C098E" w:rsidP="00E859E0">
            <w:r w:rsidRPr="00F4202E">
              <w:t xml:space="preserve">&gt; 50% </w:t>
            </w:r>
            <w:proofErr w:type="spellStart"/>
            <w:r w:rsidRPr="00F4202E">
              <w:t>disable</w:t>
            </w:r>
            <w:r w:rsidR="00396F56">
              <w:t>d</w:t>
            </w:r>
            <w:proofErr w:type="spellEnd"/>
          </w:p>
        </w:tc>
        <w:tc>
          <w:tcPr>
            <w:tcW w:w="1250" w:type="pct"/>
            <w:tcBorders>
              <w:top w:val="nil"/>
              <w:left w:val="nil"/>
              <w:bottom w:val="single" w:sz="4" w:space="0" w:color="auto"/>
              <w:right w:val="single" w:sz="4" w:space="0" w:color="auto"/>
            </w:tcBorders>
            <w:shd w:val="clear" w:color="auto" w:fill="auto"/>
            <w:noWrap/>
            <w:vAlign w:val="center"/>
            <w:hideMark/>
          </w:tcPr>
          <w:p w14:paraId="084A0067" w14:textId="77777777" w:rsidR="009C098E" w:rsidRPr="00F4202E" w:rsidRDefault="009C098E" w:rsidP="00E859E0">
            <w:pPr>
              <w:rPr>
                <w:lang w:val="en-GB"/>
              </w:rPr>
            </w:pPr>
            <w:r w:rsidRPr="00F4202E">
              <w:rPr>
                <w:lang w:val="en-GB"/>
              </w:rPr>
              <w:t>Up to 50% of the monthly value of individual support</w:t>
            </w:r>
          </w:p>
        </w:tc>
        <w:tc>
          <w:tcPr>
            <w:tcW w:w="1250" w:type="pct"/>
            <w:tcBorders>
              <w:top w:val="nil"/>
              <w:left w:val="nil"/>
              <w:bottom w:val="single" w:sz="4" w:space="0" w:color="auto"/>
              <w:right w:val="single" w:sz="4" w:space="0" w:color="auto"/>
            </w:tcBorders>
            <w:shd w:val="clear" w:color="auto" w:fill="auto"/>
            <w:noWrap/>
            <w:vAlign w:val="center"/>
            <w:hideMark/>
          </w:tcPr>
          <w:p w14:paraId="19FE3148" w14:textId="77777777" w:rsidR="009C098E" w:rsidRPr="00F4202E" w:rsidRDefault="009C098E" w:rsidP="00E859E0">
            <w:r w:rsidRPr="00F4202E">
              <w:t>400,00 €</w:t>
            </w:r>
          </w:p>
        </w:tc>
      </w:tr>
      <w:tr w:rsidR="009C098E" w:rsidRPr="00510916" w14:paraId="1E879E44" w14:textId="77777777" w:rsidTr="009C098E">
        <w:trPr>
          <w:trHeight w:val="288"/>
        </w:trPr>
        <w:tc>
          <w:tcPr>
            <w:tcW w:w="125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4CB6EAF" w14:textId="77777777" w:rsidR="009C098E" w:rsidRPr="00F4202E" w:rsidRDefault="009C098E" w:rsidP="00E859E0">
            <w:proofErr w:type="spellStart"/>
            <w:r w:rsidRPr="00F4202E">
              <w:t>Outgoing</w:t>
            </w:r>
            <w:proofErr w:type="spellEnd"/>
          </w:p>
        </w:tc>
        <w:tc>
          <w:tcPr>
            <w:tcW w:w="1250" w:type="pct"/>
            <w:tcBorders>
              <w:top w:val="nil"/>
              <w:left w:val="nil"/>
              <w:bottom w:val="single" w:sz="4" w:space="0" w:color="auto"/>
              <w:right w:val="single" w:sz="4" w:space="0" w:color="auto"/>
            </w:tcBorders>
            <w:shd w:val="clear" w:color="auto" w:fill="auto"/>
            <w:noWrap/>
            <w:vAlign w:val="center"/>
            <w:hideMark/>
          </w:tcPr>
          <w:p w14:paraId="5B61F901" w14:textId="77777777" w:rsidR="009C098E" w:rsidRPr="00F4202E" w:rsidRDefault="009C098E" w:rsidP="00E859E0">
            <w:r w:rsidRPr="00F4202E">
              <w:t xml:space="preserve">&lt; 50% </w:t>
            </w:r>
            <w:proofErr w:type="spellStart"/>
            <w:r w:rsidRPr="00F4202E">
              <w:t>disable</w:t>
            </w:r>
            <w:r w:rsidR="00396F56">
              <w:t>d</w:t>
            </w:r>
            <w:proofErr w:type="spellEnd"/>
          </w:p>
        </w:tc>
        <w:tc>
          <w:tcPr>
            <w:tcW w:w="1250" w:type="pct"/>
            <w:tcBorders>
              <w:top w:val="nil"/>
              <w:left w:val="nil"/>
              <w:bottom w:val="single" w:sz="4" w:space="0" w:color="auto"/>
              <w:right w:val="single" w:sz="4" w:space="0" w:color="auto"/>
            </w:tcBorders>
            <w:shd w:val="clear" w:color="auto" w:fill="auto"/>
            <w:noWrap/>
            <w:vAlign w:val="center"/>
            <w:hideMark/>
          </w:tcPr>
          <w:p w14:paraId="589A7580" w14:textId="77777777" w:rsidR="009C098E" w:rsidRPr="00F4202E" w:rsidRDefault="009C098E" w:rsidP="00E859E0">
            <w:pPr>
              <w:rPr>
                <w:lang w:val="en-GB"/>
              </w:rPr>
            </w:pPr>
            <w:r w:rsidRPr="00F4202E">
              <w:rPr>
                <w:lang w:val="en-GB"/>
              </w:rPr>
              <w:t>Up to 50% of the monthly value of individual support</w:t>
            </w:r>
          </w:p>
        </w:tc>
        <w:tc>
          <w:tcPr>
            <w:tcW w:w="1250" w:type="pct"/>
            <w:tcBorders>
              <w:top w:val="nil"/>
              <w:left w:val="nil"/>
              <w:bottom w:val="single" w:sz="4" w:space="0" w:color="auto"/>
              <w:right w:val="single" w:sz="4" w:space="0" w:color="auto"/>
            </w:tcBorders>
            <w:shd w:val="clear" w:color="auto" w:fill="auto"/>
            <w:noWrap/>
            <w:vAlign w:val="center"/>
            <w:hideMark/>
          </w:tcPr>
          <w:p w14:paraId="389A9D0C" w14:textId="77777777" w:rsidR="009C098E" w:rsidRPr="00F4202E" w:rsidRDefault="009C098E" w:rsidP="00E859E0">
            <w:r w:rsidRPr="00F4202E">
              <w:t>325,00 €</w:t>
            </w:r>
          </w:p>
        </w:tc>
      </w:tr>
      <w:tr w:rsidR="009C098E" w:rsidRPr="00510916" w14:paraId="63058A5D" w14:textId="77777777" w:rsidTr="009C098E">
        <w:trPr>
          <w:trHeight w:val="288"/>
        </w:trPr>
        <w:tc>
          <w:tcPr>
            <w:tcW w:w="1250" w:type="pct"/>
            <w:vMerge/>
            <w:tcBorders>
              <w:top w:val="nil"/>
              <w:left w:val="single" w:sz="4" w:space="0" w:color="auto"/>
              <w:bottom w:val="single" w:sz="4" w:space="0" w:color="000000"/>
              <w:right w:val="single" w:sz="4" w:space="0" w:color="auto"/>
            </w:tcBorders>
            <w:vAlign w:val="center"/>
            <w:hideMark/>
          </w:tcPr>
          <w:p w14:paraId="53CF666D" w14:textId="77777777" w:rsidR="009C098E" w:rsidRPr="00F4202E" w:rsidRDefault="009C098E" w:rsidP="00E859E0"/>
        </w:tc>
        <w:tc>
          <w:tcPr>
            <w:tcW w:w="1250" w:type="pct"/>
            <w:tcBorders>
              <w:top w:val="nil"/>
              <w:left w:val="nil"/>
              <w:bottom w:val="single" w:sz="4" w:space="0" w:color="auto"/>
              <w:right w:val="single" w:sz="4" w:space="0" w:color="auto"/>
            </w:tcBorders>
            <w:shd w:val="clear" w:color="auto" w:fill="auto"/>
            <w:noWrap/>
            <w:vAlign w:val="center"/>
            <w:hideMark/>
          </w:tcPr>
          <w:p w14:paraId="569947A0" w14:textId="77777777" w:rsidR="009C098E" w:rsidRPr="00F4202E" w:rsidRDefault="009C098E" w:rsidP="00E859E0">
            <w:r w:rsidRPr="00F4202E">
              <w:t xml:space="preserve">&gt; 50% </w:t>
            </w:r>
            <w:proofErr w:type="spellStart"/>
            <w:r w:rsidRPr="00F4202E">
              <w:t>disable</w:t>
            </w:r>
            <w:r w:rsidR="00396F56">
              <w:t>d</w:t>
            </w:r>
            <w:proofErr w:type="spellEnd"/>
          </w:p>
        </w:tc>
        <w:tc>
          <w:tcPr>
            <w:tcW w:w="1250" w:type="pct"/>
            <w:tcBorders>
              <w:top w:val="nil"/>
              <w:left w:val="nil"/>
              <w:bottom w:val="single" w:sz="4" w:space="0" w:color="auto"/>
              <w:right w:val="single" w:sz="4" w:space="0" w:color="auto"/>
            </w:tcBorders>
            <w:shd w:val="clear" w:color="auto" w:fill="auto"/>
            <w:noWrap/>
            <w:vAlign w:val="center"/>
            <w:hideMark/>
          </w:tcPr>
          <w:p w14:paraId="515DB1C5" w14:textId="77777777" w:rsidR="009C098E" w:rsidRPr="00F4202E" w:rsidRDefault="009C098E" w:rsidP="00E859E0">
            <w:pPr>
              <w:rPr>
                <w:lang w:val="en-GB"/>
              </w:rPr>
            </w:pPr>
            <w:r w:rsidRPr="00F4202E">
              <w:rPr>
                <w:lang w:val="en-GB"/>
              </w:rPr>
              <w:t>Up to 80% of the monthly value of individual support</w:t>
            </w:r>
          </w:p>
        </w:tc>
        <w:tc>
          <w:tcPr>
            <w:tcW w:w="1250" w:type="pct"/>
            <w:tcBorders>
              <w:top w:val="nil"/>
              <w:left w:val="nil"/>
              <w:bottom w:val="single" w:sz="4" w:space="0" w:color="auto"/>
              <w:right w:val="single" w:sz="4" w:space="0" w:color="auto"/>
            </w:tcBorders>
            <w:shd w:val="clear" w:color="auto" w:fill="auto"/>
            <w:noWrap/>
            <w:vAlign w:val="center"/>
            <w:hideMark/>
          </w:tcPr>
          <w:p w14:paraId="1279BAF2" w14:textId="77777777" w:rsidR="009C098E" w:rsidRPr="00F4202E" w:rsidRDefault="009C098E" w:rsidP="00E859E0">
            <w:r w:rsidRPr="00F4202E">
              <w:t>520,00 €</w:t>
            </w:r>
          </w:p>
        </w:tc>
      </w:tr>
    </w:tbl>
    <w:p w14:paraId="6699F151" w14:textId="77777777" w:rsidR="00510916" w:rsidRDefault="00510916" w:rsidP="00E859E0"/>
    <w:p w14:paraId="46CBA523" w14:textId="77777777" w:rsidR="00F4202E" w:rsidRPr="00E9236A" w:rsidRDefault="00F4202E" w:rsidP="00E859E0">
      <w:pPr>
        <w:rPr>
          <w:lang w:val="en-GB"/>
        </w:rPr>
      </w:pPr>
      <w:r w:rsidRPr="00E9236A">
        <w:rPr>
          <w:lang w:val="en-GB"/>
        </w:rPr>
        <w:t xml:space="preserve">Flat Rates for Accompanying </w:t>
      </w:r>
      <w:r w:rsidR="00626280">
        <w:rPr>
          <w:lang w:val="en-GB"/>
        </w:rPr>
        <w:t>Persons</w:t>
      </w:r>
      <w:r w:rsidRPr="00E9236A">
        <w:rPr>
          <w:lang w:val="en-GB"/>
        </w:rPr>
        <w:t xml:space="preserve"> of Student Mobility Participants</w:t>
      </w:r>
    </w:p>
    <w:p w14:paraId="0D8AFC5F" w14:textId="77777777" w:rsidR="00F4202E" w:rsidRPr="00F4202E" w:rsidRDefault="00F4202E" w:rsidP="00E859E0">
      <w:pPr>
        <w:rPr>
          <w:lang w:val="en-GB"/>
        </w:rPr>
      </w:pPr>
    </w:p>
    <w:tbl>
      <w:tblPr>
        <w:tblW w:w="5000" w:type="pct"/>
        <w:tblCellMar>
          <w:left w:w="70" w:type="dxa"/>
          <w:right w:w="70" w:type="dxa"/>
        </w:tblCellMar>
        <w:tblLook w:val="04A0" w:firstRow="1" w:lastRow="0" w:firstColumn="1" w:lastColumn="0" w:noHBand="0" w:noVBand="1"/>
      </w:tblPr>
      <w:tblGrid>
        <w:gridCol w:w="2674"/>
        <w:gridCol w:w="2674"/>
        <w:gridCol w:w="3146"/>
      </w:tblGrid>
      <w:tr w:rsidR="00F4202E" w:rsidRPr="00F4202E" w14:paraId="484E1602" w14:textId="77777777" w:rsidTr="00E9236A">
        <w:trPr>
          <w:trHeight w:val="1058"/>
        </w:trPr>
        <w:tc>
          <w:tcPr>
            <w:tcW w:w="1574"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28007505" w14:textId="77777777" w:rsidR="00F4202E" w:rsidRPr="00E9236A" w:rsidRDefault="00F4202E" w:rsidP="00E859E0">
            <w:proofErr w:type="spellStart"/>
            <w:r w:rsidRPr="00E9236A">
              <w:t>Direction</w:t>
            </w:r>
            <w:proofErr w:type="spellEnd"/>
          </w:p>
          <w:p w14:paraId="3496169C" w14:textId="77777777" w:rsidR="00F4202E" w:rsidRPr="00F4202E" w:rsidRDefault="00F4202E" w:rsidP="00E859E0">
            <w:pPr>
              <w:rPr>
                <w:rFonts w:ascii="Calibri" w:hAnsi="Calibri"/>
              </w:rPr>
            </w:pPr>
            <w:proofErr w:type="spellStart"/>
            <w:r w:rsidRPr="00E9236A">
              <w:t>of</w:t>
            </w:r>
            <w:proofErr w:type="spellEnd"/>
            <w:r w:rsidRPr="00E9236A">
              <w:t xml:space="preserve"> </w:t>
            </w:r>
            <w:proofErr w:type="spellStart"/>
            <w:r w:rsidRPr="00E9236A">
              <w:t>mobility</w:t>
            </w:r>
            <w:proofErr w:type="spellEnd"/>
          </w:p>
        </w:tc>
        <w:tc>
          <w:tcPr>
            <w:tcW w:w="1574" w:type="pct"/>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7CEE37AF" w14:textId="77777777" w:rsidR="00F4202E" w:rsidRPr="00F4202E" w:rsidRDefault="00E9236A" w:rsidP="00E859E0">
            <w:pPr>
              <w:rPr>
                <w:rFonts w:ascii="Calibri" w:hAnsi="Calibri"/>
                <w:lang w:val="en-GB"/>
              </w:rPr>
            </w:pPr>
            <w:r w:rsidRPr="00F4202E">
              <w:rPr>
                <w:lang w:val="en-GB"/>
              </w:rPr>
              <w:t xml:space="preserve">Individual Support – Maximum </w:t>
            </w:r>
            <w:r>
              <w:rPr>
                <w:lang w:val="en-GB"/>
              </w:rPr>
              <w:t>value</w:t>
            </w:r>
            <w:r w:rsidRPr="00F4202E">
              <w:rPr>
                <w:lang w:val="en-GB"/>
              </w:rPr>
              <w:t xml:space="preserve"> awarded / per month</w:t>
            </w:r>
          </w:p>
        </w:tc>
        <w:tc>
          <w:tcPr>
            <w:tcW w:w="1853" w:type="pct"/>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59DB2CAF" w14:textId="77777777" w:rsidR="00F4202E" w:rsidRPr="00F4202E" w:rsidRDefault="00E9236A" w:rsidP="00E859E0">
            <w:proofErr w:type="spellStart"/>
            <w:r>
              <w:t>Travel</w:t>
            </w:r>
            <w:proofErr w:type="spellEnd"/>
          </w:p>
        </w:tc>
      </w:tr>
      <w:tr w:rsidR="00F4202E" w:rsidRPr="00E859E0" w14:paraId="74790764" w14:textId="77777777" w:rsidTr="009D4013">
        <w:trPr>
          <w:trHeight w:val="385"/>
        </w:trPr>
        <w:tc>
          <w:tcPr>
            <w:tcW w:w="157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AF1BCC" w14:textId="77777777" w:rsidR="00F4202E" w:rsidRPr="00F4202E" w:rsidRDefault="00F4202E" w:rsidP="00E859E0">
            <w:proofErr w:type="spellStart"/>
            <w:r w:rsidRPr="00F4202E">
              <w:t>Incoming</w:t>
            </w:r>
            <w:proofErr w:type="spellEnd"/>
          </w:p>
        </w:tc>
        <w:tc>
          <w:tcPr>
            <w:tcW w:w="157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6CA4F7B" w14:textId="77777777" w:rsidR="00F4202E" w:rsidRPr="00F4202E" w:rsidRDefault="00F4202E" w:rsidP="00E859E0">
            <w:r w:rsidRPr="00F4202E">
              <w:t>84,00 €</w:t>
            </w:r>
          </w:p>
        </w:tc>
        <w:tc>
          <w:tcPr>
            <w:tcW w:w="1853" w:type="pct"/>
            <w:vMerge w:val="restart"/>
            <w:tcBorders>
              <w:top w:val="nil"/>
              <w:left w:val="single" w:sz="4" w:space="0" w:color="auto"/>
              <w:bottom w:val="single" w:sz="4" w:space="0" w:color="auto"/>
              <w:right w:val="single" w:sz="4" w:space="0" w:color="auto"/>
            </w:tcBorders>
            <w:shd w:val="clear" w:color="auto" w:fill="auto"/>
            <w:vAlign w:val="center"/>
            <w:hideMark/>
          </w:tcPr>
          <w:p w14:paraId="566B7BCB" w14:textId="213DE773" w:rsidR="00F4202E" w:rsidRPr="00F4202E" w:rsidRDefault="00626280" w:rsidP="00E859E0">
            <w:pPr>
              <w:rPr>
                <w:lang w:val="en-GB"/>
              </w:rPr>
            </w:pPr>
            <w:r w:rsidRPr="00E9236A">
              <w:rPr>
                <w:lang w:val="en-GB"/>
              </w:rPr>
              <w:t xml:space="preserve">The </w:t>
            </w:r>
            <w:r w:rsidRPr="00E859E0">
              <w:rPr>
                <w:b w:val="0"/>
                <w:lang w:val="en-GB"/>
              </w:rPr>
              <w:t>value</w:t>
            </w:r>
            <w:r w:rsidRPr="00E9236A">
              <w:rPr>
                <w:lang w:val="en-GB"/>
              </w:rPr>
              <w:t xml:space="preserve"> of the travel support</w:t>
            </w:r>
            <w:r>
              <w:rPr>
                <w:lang w:val="en-GB"/>
              </w:rPr>
              <w:t xml:space="preserve"> for the accompanying person</w:t>
            </w:r>
            <w:r w:rsidRPr="00E9236A">
              <w:rPr>
                <w:lang w:val="en-GB"/>
              </w:rPr>
              <w:t xml:space="preserve"> </w:t>
            </w:r>
            <w:r>
              <w:rPr>
                <w:lang w:val="en-GB"/>
              </w:rPr>
              <w:t>is the same as the travel grant awarded to the mobility participant. Travel support flat rates are awarded according to the distance band.</w:t>
            </w:r>
          </w:p>
        </w:tc>
      </w:tr>
      <w:tr w:rsidR="00F4202E" w:rsidRPr="00E859E0" w14:paraId="3D35EAAB" w14:textId="77777777" w:rsidTr="00E9236A">
        <w:trPr>
          <w:trHeight w:val="385"/>
        </w:trPr>
        <w:tc>
          <w:tcPr>
            <w:tcW w:w="1574" w:type="pct"/>
            <w:vMerge/>
            <w:tcBorders>
              <w:top w:val="nil"/>
              <w:left w:val="single" w:sz="4" w:space="0" w:color="auto"/>
              <w:bottom w:val="single" w:sz="4" w:space="0" w:color="auto"/>
              <w:right w:val="single" w:sz="4" w:space="0" w:color="auto"/>
            </w:tcBorders>
            <w:vAlign w:val="center"/>
            <w:hideMark/>
          </w:tcPr>
          <w:p w14:paraId="621D6FB4" w14:textId="77777777" w:rsidR="00F4202E" w:rsidRPr="00F4202E" w:rsidRDefault="00F4202E" w:rsidP="00E859E0">
            <w:pPr>
              <w:rPr>
                <w:lang w:val="en-GB"/>
              </w:rPr>
            </w:pPr>
          </w:p>
        </w:tc>
        <w:tc>
          <w:tcPr>
            <w:tcW w:w="1574" w:type="pct"/>
            <w:vMerge/>
            <w:tcBorders>
              <w:top w:val="nil"/>
              <w:left w:val="single" w:sz="4" w:space="0" w:color="auto"/>
              <w:bottom w:val="single" w:sz="4" w:space="0" w:color="auto"/>
              <w:right w:val="single" w:sz="4" w:space="0" w:color="auto"/>
            </w:tcBorders>
            <w:vAlign w:val="center"/>
            <w:hideMark/>
          </w:tcPr>
          <w:p w14:paraId="1E532748" w14:textId="77777777" w:rsidR="00F4202E" w:rsidRPr="00F4202E" w:rsidRDefault="00F4202E" w:rsidP="00E859E0">
            <w:pPr>
              <w:rPr>
                <w:lang w:val="en-GB"/>
              </w:rPr>
            </w:pPr>
          </w:p>
        </w:tc>
        <w:tc>
          <w:tcPr>
            <w:tcW w:w="1853" w:type="pct"/>
            <w:vMerge/>
            <w:tcBorders>
              <w:top w:val="nil"/>
              <w:left w:val="single" w:sz="4" w:space="0" w:color="auto"/>
              <w:bottom w:val="single" w:sz="4" w:space="0" w:color="auto"/>
              <w:right w:val="single" w:sz="4" w:space="0" w:color="auto"/>
            </w:tcBorders>
            <w:vAlign w:val="center"/>
            <w:hideMark/>
          </w:tcPr>
          <w:p w14:paraId="7716B54B" w14:textId="77777777" w:rsidR="00F4202E" w:rsidRPr="00F4202E" w:rsidRDefault="00F4202E" w:rsidP="00E859E0">
            <w:pPr>
              <w:rPr>
                <w:lang w:val="en-GB"/>
              </w:rPr>
            </w:pPr>
          </w:p>
        </w:tc>
      </w:tr>
      <w:tr w:rsidR="00F4202E" w:rsidRPr="00F4202E" w14:paraId="5017865F" w14:textId="77777777" w:rsidTr="00E9236A">
        <w:trPr>
          <w:trHeight w:val="385"/>
        </w:trPr>
        <w:tc>
          <w:tcPr>
            <w:tcW w:w="157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87875AA" w14:textId="77777777" w:rsidR="00F4202E" w:rsidRPr="00F4202E" w:rsidRDefault="00F4202E" w:rsidP="00E859E0">
            <w:pPr>
              <w:rPr>
                <w:lang w:val="en-GB"/>
              </w:rPr>
            </w:pPr>
            <w:r w:rsidRPr="00F4202E">
              <w:rPr>
                <w:lang w:val="en-GB"/>
              </w:rPr>
              <w:t>Outgoing</w:t>
            </w:r>
          </w:p>
        </w:tc>
        <w:tc>
          <w:tcPr>
            <w:tcW w:w="157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46E8E8" w14:textId="77777777" w:rsidR="00F4202E" w:rsidRPr="00F4202E" w:rsidRDefault="00F4202E" w:rsidP="00E859E0">
            <w:pPr>
              <w:rPr>
                <w:lang w:val="en-GB"/>
              </w:rPr>
            </w:pPr>
            <w:r w:rsidRPr="00F4202E">
              <w:rPr>
                <w:lang w:val="en-GB"/>
              </w:rPr>
              <w:t>112,00 €</w:t>
            </w:r>
          </w:p>
        </w:tc>
        <w:tc>
          <w:tcPr>
            <w:tcW w:w="1853" w:type="pct"/>
            <w:vMerge/>
            <w:tcBorders>
              <w:top w:val="nil"/>
              <w:left w:val="single" w:sz="4" w:space="0" w:color="auto"/>
              <w:bottom w:val="single" w:sz="4" w:space="0" w:color="auto"/>
              <w:right w:val="single" w:sz="4" w:space="0" w:color="auto"/>
            </w:tcBorders>
            <w:vAlign w:val="center"/>
            <w:hideMark/>
          </w:tcPr>
          <w:p w14:paraId="5B61C035" w14:textId="77777777" w:rsidR="00F4202E" w:rsidRPr="00F4202E" w:rsidRDefault="00F4202E" w:rsidP="00E859E0">
            <w:pPr>
              <w:rPr>
                <w:lang w:val="en-GB"/>
              </w:rPr>
            </w:pPr>
          </w:p>
        </w:tc>
      </w:tr>
      <w:tr w:rsidR="00F4202E" w:rsidRPr="00F4202E" w14:paraId="09EE850C" w14:textId="77777777" w:rsidTr="00F4202E">
        <w:trPr>
          <w:trHeight w:val="385"/>
        </w:trPr>
        <w:tc>
          <w:tcPr>
            <w:tcW w:w="1574" w:type="pct"/>
            <w:vMerge/>
            <w:tcBorders>
              <w:top w:val="nil"/>
              <w:left w:val="single" w:sz="4" w:space="0" w:color="auto"/>
              <w:bottom w:val="single" w:sz="4" w:space="0" w:color="auto"/>
              <w:right w:val="single" w:sz="4" w:space="0" w:color="auto"/>
            </w:tcBorders>
            <w:vAlign w:val="center"/>
            <w:hideMark/>
          </w:tcPr>
          <w:p w14:paraId="318AD18A" w14:textId="77777777" w:rsidR="00F4202E" w:rsidRPr="00F4202E" w:rsidRDefault="00F4202E" w:rsidP="00E859E0">
            <w:pPr>
              <w:rPr>
                <w:lang w:val="en-GB"/>
              </w:rPr>
            </w:pPr>
          </w:p>
        </w:tc>
        <w:tc>
          <w:tcPr>
            <w:tcW w:w="1574" w:type="pct"/>
            <w:vMerge/>
            <w:tcBorders>
              <w:top w:val="nil"/>
              <w:left w:val="single" w:sz="4" w:space="0" w:color="auto"/>
              <w:bottom w:val="single" w:sz="4" w:space="0" w:color="auto"/>
              <w:right w:val="single" w:sz="4" w:space="0" w:color="auto"/>
            </w:tcBorders>
            <w:vAlign w:val="center"/>
            <w:hideMark/>
          </w:tcPr>
          <w:p w14:paraId="35956B9B" w14:textId="77777777" w:rsidR="00F4202E" w:rsidRPr="00F4202E" w:rsidRDefault="00F4202E" w:rsidP="00E859E0">
            <w:pPr>
              <w:rPr>
                <w:lang w:val="en-GB"/>
              </w:rPr>
            </w:pPr>
          </w:p>
        </w:tc>
        <w:tc>
          <w:tcPr>
            <w:tcW w:w="1853" w:type="pct"/>
            <w:vMerge/>
            <w:tcBorders>
              <w:top w:val="nil"/>
              <w:left w:val="single" w:sz="4" w:space="0" w:color="auto"/>
              <w:bottom w:val="single" w:sz="4" w:space="0" w:color="auto"/>
              <w:right w:val="single" w:sz="4" w:space="0" w:color="auto"/>
            </w:tcBorders>
            <w:vAlign w:val="center"/>
            <w:hideMark/>
          </w:tcPr>
          <w:p w14:paraId="404DF64B" w14:textId="77777777" w:rsidR="00F4202E" w:rsidRPr="00F4202E" w:rsidRDefault="00F4202E" w:rsidP="00E859E0">
            <w:pPr>
              <w:rPr>
                <w:lang w:val="en-GB"/>
              </w:rPr>
            </w:pPr>
          </w:p>
        </w:tc>
      </w:tr>
    </w:tbl>
    <w:p w14:paraId="63EC01E6" w14:textId="77777777" w:rsidR="009D4013" w:rsidRDefault="009D4013" w:rsidP="00E859E0">
      <w:pPr>
        <w:rPr>
          <w:lang w:val="en-GB"/>
        </w:rPr>
      </w:pPr>
    </w:p>
    <w:p w14:paraId="65C8F9E2" w14:textId="0CF3C315" w:rsidR="00510916" w:rsidRPr="00396F56" w:rsidRDefault="00510916" w:rsidP="00E859E0">
      <w:pPr>
        <w:rPr>
          <w:lang w:val="en-GB"/>
        </w:rPr>
      </w:pPr>
      <w:r w:rsidRPr="009D4013">
        <w:rPr>
          <w:lang w:val="en-GB"/>
        </w:rPr>
        <w:t>Flat Rates for Staff Mobility</w:t>
      </w:r>
      <w:r w:rsidR="00E859E0">
        <w:rPr>
          <w:lang w:val="en-GB"/>
        </w:rPr>
        <w:t xml:space="preserve"> </w:t>
      </w:r>
      <w:r w:rsidR="00396F56" w:rsidRPr="00F4202E">
        <w:rPr>
          <w:lang w:val="en-GB"/>
        </w:rPr>
        <w:t>Participants</w:t>
      </w:r>
    </w:p>
    <w:p w14:paraId="6A273315" w14:textId="77777777" w:rsidR="00510916" w:rsidRPr="009C098E" w:rsidRDefault="00510916" w:rsidP="00E859E0">
      <w:pPr>
        <w:rPr>
          <w:lang w:val="en-GB"/>
        </w:rPr>
      </w:pPr>
    </w:p>
    <w:tbl>
      <w:tblPr>
        <w:tblW w:w="5000" w:type="pct"/>
        <w:tblLayout w:type="fixed"/>
        <w:tblCellMar>
          <w:left w:w="70" w:type="dxa"/>
          <w:right w:w="70" w:type="dxa"/>
        </w:tblCellMar>
        <w:tblLook w:val="04A0" w:firstRow="1" w:lastRow="0" w:firstColumn="1" w:lastColumn="0" w:noHBand="0" w:noVBand="1"/>
      </w:tblPr>
      <w:tblGrid>
        <w:gridCol w:w="1130"/>
        <w:gridCol w:w="1559"/>
        <w:gridCol w:w="3534"/>
        <w:gridCol w:w="2271"/>
      </w:tblGrid>
      <w:tr w:rsidR="00396F56" w:rsidRPr="00E859E0" w14:paraId="335118A6" w14:textId="77777777" w:rsidTr="00E859E0">
        <w:trPr>
          <w:trHeight w:val="864"/>
        </w:trPr>
        <w:tc>
          <w:tcPr>
            <w:tcW w:w="665"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7CDFA09D" w14:textId="77777777" w:rsidR="00396F56" w:rsidRPr="00E859E0" w:rsidRDefault="00396F56" w:rsidP="00E859E0">
            <w:proofErr w:type="spellStart"/>
            <w:r w:rsidRPr="00E859E0">
              <w:t>Direction</w:t>
            </w:r>
            <w:proofErr w:type="spellEnd"/>
          </w:p>
          <w:p w14:paraId="2A21AE22" w14:textId="77777777" w:rsidR="00396F56" w:rsidRPr="00E859E0" w:rsidRDefault="00396F56" w:rsidP="00E859E0">
            <w:proofErr w:type="spellStart"/>
            <w:r w:rsidRPr="00E859E0">
              <w:t>of</w:t>
            </w:r>
            <w:proofErr w:type="spellEnd"/>
            <w:r w:rsidRPr="00E859E0">
              <w:t xml:space="preserve"> </w:t>
            </w:r>
            <w:proofErr w:type="spellStart"/>
            <w:r w:rsidRPr="00E859E0">
              <w:t>mobility</w:t>
            </w:r>
            <w:proofErr w:type="spellEnd"/>
          </w:p>
        </w:tc>
        <w:tc>
          <w:tcPr>
            <w:tcW w:w="918" w:type="pct"/>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14:paraId="69221502" w14:textId="77777777" w:rsidR="00396F56" w:rsidRPr="00E859E0" w:rsidRDefault="00396F56" w:rsidP="00E859E0">
            <w:proofErr w:type="spellStart"/>
            <w:r w:rsidRPr="00E859E0">
              <w:t>Degree</w:t>
            </w:r>
            <w:proofErr w:type="spellEnd"/>
            <w:r w:rsidRPr="00E859E0">
              <w:t xml:space="preserve"> </w:t>
            </w:r>
            <w:proofErr w:type="spellStart"/>
            <w:r w:rsidRPr="00E859E0">
              <w:t>of</w:t>
            </w:r>
            <w:proofErr w:type="spellEnd"/>
            <w:r w:rsidRPr="00E859E0">
              <w:t xml:space="preserve"> </w:t>
            </w:r>
            <w:proofErr w:type="spellStart"/>
            <w:r w:rsidRPr="00E859E0">
              <w:t>Disability</w:t>
            </w:r>
            <w:proofErr w:type="spellEnd"/>
          </w:p>
        </w:tc>
        <w:tc>
          <w:tcPr>
            <w:tcW w:w="2080" w:type="pct"/>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14:paraId="5B8CD294" w14:textId="77777777" w:rsidR="00396F56" w:rsidRPr="00E859E0" w:rsidRDefault="00396F56" w:rsidP="00E859E0">
            <w:r w:rsidRPr="00E859E0">
              <w:t>Flat Rate</w:t>
            </w:r>
          </w:p>
        </w:tc>
        <w:tc>
          <w:tcPr>
            <w:tcW w:w="1337" w:type="pct"/>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44776456" w14:textId="77777777" w:rsidR="00396F56" w:rsidRPr="00E859E0" w:rsidRDefault="00396F56" w:rsidP="00E859E0">
            <w:pPr>
              <w:rPr>
                <w:lang w:val="en-GB"/>
              </w:rPr>
            </w:pPr>
            <w:r w:rsidRPr="00E859E0">
              <w:rPr>
                <w:lang w:val="en-GB"/>
              </w:rPr>
              <w:t>Individual Support – Maximum values awarded / per diem</w:t>
            </w:r>
          </w:p>
        </w:tc>
      </w:tr>
      <w:tr w:rsidR="00396F56" w:rsidRPr="009D4013" w14:paraId="699296FF" w14:textId="77777777" w:rsidTr="00E859E0">
        <w:trPr>
          <w:trHeight w:val="288"/>
        </w:trPr>
        <w:tc>
          <w:tcPr>
            <w:tcW w:w="6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92B773D" w14:textId="77777777" w:rsidR="00396F56" w:rsidRPr="00E859E0" w:rsidRDefault="00396F56" w:rsidP="00E859E0">
            <w:proofErr w:type="spellStart"/>
            <w:r w:rsidRPr="00E859E0">
              <w:t>Incoming</w:t>
            </w:r>
            <w:proofErr w:type="spellEnd"/>
          </w:p>
        </w:tc>
        <w:tc>
          <w:tcPr>
            <w:tcW w:w="918" w:type="pct"/>
            <w:tcBorders>
              <w:top w:val="nil"/>
              <w:left w:val="nil"/>
              <w:bottom w:val="single" w:sz="4" w:space="0" w:color="auto"/>
              <w:right w:val="single" w:sz="4" w:space="0" w:color="auto"/>
            </w:tcBorders>
            <w:shd w:val="clear" w:color="auto" w:fill="auto"/>
            <w:noWrap/>
            <w:vAlign w:val="center"/>
            <w:hideMark/>
          </w:tcPr>
          <w:p w14:paraId="238A3E52" w14:textId="77777777" w:rsidR="00396F56" w:rsidRPr="00E859E0" w:rsidRDefault="00396F56" w:rsidP="00E859E0">
            <w:r w:rsidRPr="00E859E0">
              <w:t xml:space="preserve">&lt; 50% </w:t>
            </w:r>
            <w:proofErr w:type="spellStart"/>
            <w:r w:rsidRPr="00E859E0">
              <w:t>disabled</w:t>
            </w:r>
            <w:proofErr w:type="spellEnd"/>
          </w:p>
        </w:tc>
        <w:tc>
          <w:tcPr>
            <w:tcW w:w="2080" w:type="pct"/>
            <w:tcBorders>
              <w:top w:val="nil"/>
              <w:left w:val="nil"/>
              <w:bottom w:val="single" w:sz="4" w:space="0" w:color="auto"/>
              <w:right w:val="single" w:sz="4" w:space="0" w:color="auto"/>
            </w:tcBorders>
            <w:shd w:val="clear" w:color="auto" w:fill="auto"/>
            <w:noWrap/>
            <w:vAlign w:val="center"/>
            <w:hideMark/>
          </w:tcPr>
          <w:p w14:paraId="09859D7E" w14:textId="77777777" w:rsidR="00396F56" w:rsidRPr="00E859E0" w:rsidRDefault="00396F56" w:rsidP="00E859E0">
            <w:pPr>
              <w:rPr>
                <w:lang w:val="en-GB"/>
              </w:rPr>
            </w:pPr>
            <w:r w:rsidRPr="00E859E0">
              <w:rPr>
                <w:lang w:val="en-GB"/>
              </w:rPr>
              <w:t>Up to 25% of the monthly value of individual support</w:t>
            </w:r>
          </w:p>
        </w:tc>
        <w:tc>
          <w:tcPr>
            <w:tcW w:w="1337" w:type="pct"/>
            <w:tcBorders>
              <w:top w:val="nil"/>
              <w:left w:val="nil"/>
              <w:bottom w:val="single" w:sz="4" w:space="0" w:color="auto"/>
              <w:right w:val="single" w:sz="4" w:space="0" w:color="auto"/>
            </w:tcBorders>
            <w:shd w:val="clear" w:color="auto" w:fill="auto"/>
            <w:noWrap/>
            <w:vAlign w:val="bottom"/>
            <w:hideMark/>
          </w:tcPr>
          <w:p w14:paraId="65F7AC1C" w14:textId="61E1DB80" w:rsidR="00396F56" w:rsidRPr="00E859E0" w:rsidRDefault="00396F56" w:rsidP="00E859E0">
            <w:r w:rsidRPr="00E859E0">
              <w:t>30,00 €</w:t>
            </w:r>
          </w:p>
        </w:tc>
      </w:tr>
      <w:tr w:rsidR="00396F56" w:rsidRPr="009D4013" w14:paraId="7AD45911" w14:textId="77777777" w:rsidTr="00E859E0">
        <w:trPr>
          <w:trHeight w:val="288"/>
        </w:trPr>
        <w:tc>
          <w:tcPr>
            <w:tcW w:w="665" w:type="pct"/>
            <w:vMerge/>
            <w:tcBorders>
              <w:top w:val="nil"/>
              <w:left w:val="single" w:sz="4" w:space="0" w:color="auto"/>
              <w:bottom w:val="single" w:sz="4" w:space="0" w:color="000000"/>
              <w:right w:val="single" w:sz="4" w:space="0" w:color="auto"/>
            </w:tcBorders>
            <w:vAlign w:val="center"/>
            <w:hideMark/>
          </w:tcPr>
          <w:p w14:paraId="37B792E6" w14:textId="77777777" w:rsidR="00396F56" w:rsidRPr="00E859E0" w:rsidRDefault="00396F56" w:rsidP="00E859E0"/>
        </w:tc>
        <w:tc>
          <w:tcPr>
            <w:tcW w:w="918" w:type="pct"/>
            <w:tcBorders>
              <w:top w:val="nil"/>
              <w:left w:val="nil"/>
              <w:bottom w:val="single" w:sz="4" w:space="0" w:color="auto"/>
              <w:right w:val="single" w:sz="4" w:space="0" w:color="auto"/>
            </w:tcBorders>
            <w:shd w:val="clear" w:color="auto" w:fill="auto"/>
            <w:noWrap/>
            <w:vAlign w:val="center"/>
            <w:hideMark/>
          </w:tcPr>
          <w:p w14:paraId="188B485D" w14:textId="77777777" w:rsidR="00396F56" w:rsidRPr="00E859E0" w:rsidRDefault="00396F56" w:rsidP="00E859E0">
            <w:r w:rsidRPr="00E859E0">
              <w:t xml:space="preserve">&gt; 50% </w:t>
            </w:r>
            <w:proofErr w:type="spellStart"/>
            <w:r w:rsidRPr="00E859E0">
              <w:t>disabled</w:t>
            </w:r>
            <w:proofErr w:type="spellEnd"/>
          </w:p>
        </w:tc>
        <w:tc>
          <w:tcPr>
            <w:tcW w:w="2080" w:type="pct"/>
            <w:tcBorders>
              <w:top w:val="nil"/>
              <w:left w:val="nil"/>
              <w:bottom w:val="single" w:sz="4" w:space="0" w:color="auto"/>
              <w:right w:val="single" w:sz="4" w:space="0" w:color="auto"/>
            </w:tcBorders>
            <w:shd w:val="clear" w:color="auto" w:fill="auto"/>
            <w:noWrap/>
            <w:vAlign w:val="bottom"/>
            <w:hideMark/>
          </w:tcPr>
          <w:p w14:paraId="3263E437" w14:textId="77777777" w:rsidR="00396F56" w:rsidRPr="00E859E0" w:rsidRDefault="00396F56" w:rsidP="00E859E0">
            <w:pPr>
              <w:rPr>
                <w:color w:val="000000"/>
                <w:sz w:val="22"/>
                <w:szCs w:val="22"/>
                <w:lang w:val="en-GB"/>
              </w:rPr>
            </w:pPr>
            <w:r w:rsidRPr="00E859E0">
              <w:rPr>
                <w:lang w:val="en-GB"/>
              </w:rPr>
              <w:t>Up to 50% of the monthly value of individual support</w:t>
            </w:r>
          </w:p>
        </w:tc>
        <w:tc>
          <w:tcPr>
            <w:tcW w:w="1337" w:type="pct"/>
            <w:tcBorders>
              <w:top w:val="nil"/>
              <w:left w:val="nil"/>
              <w:bottom w:val="single" w:sz="4" w:space="0" w:color="auto"/>
              <w:right w:val="single" w:sz="4" w:space="0" w:color="auto"/>
            </w:tcBorders>
            <w:shd w:val="clear" w:color="auto" w:fill="auto"/>
            <w:noWrap/>
            <w:vAlign w:val="bottom"/>
            <w:hideMark/>
          </w:tcPr>
          <w:p w14:paraId="3D36CFF2" w14:textId="3715BD94" w:rsidR="00396F56" w:rsidRPr="00E859E0" w:rsidRDefault="00396F56" w:rsidP="00E859E0">
            <w:r w:rsidRPr="00E859E0">
              <w:t>60,00 €</w:t>
            </w:r>
          </w:p>
        </w:tc>
      </w:tr>
      <w:tr w:rsidR="00396F56" w:rsidRPr="009D4013" w14:paraId="4B09C67F" w14:textId="77777777" w:rsidTr="00E859E0">
        <w:trPr>
          <w:trHeight w:val="288"/>
        </w:trPr>
        <w:tc>
          <w:tcPr>
            <w:tcW w:w="6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F69DF6E" w14:textId="77777777" w:rsidR="00396F56" w:rsidRPr="00E859E0" w:rsidRDefault="00396F56" w:rsidP="00E859E0">
            <w:proofErr w:type="spellStart"/>
            <w:r w:rsidRPr="00E859E0">
              <w:t>Outgoing</w:t>
            </w:r>
            <w:proofErr w:type="spellEnd"/>
          </w:p>
        </w:tc>
        <w:tc>
          <w:tcPr>
            <w:tcW w:w="918" w:type="pct"/>
            <w:tcBorders>
              <w:top w:val="nil"/>
              <w:left w:val="nil"/>
              <w:bottom w:val="single" w:sz="4" w:space="0" w:color="auto"/>
              <w:right w:val="single" w:sz="4" w:space="0" w:color="auto"/>
            </w:tcBorders>
            <w:shd w:val="clear" w:color="auto" w:fill="auto"/>
            <w:noWrap/>
            <w:vAlign w:val="center"/>
            <w:hideMark/>
          </w:tcPr>
          <w:p w14:paraId="5BAD5B59" w14:textId="77777777" w:rsidR="00396F56" w:rsidRPr="00E859E0" w:rsidRDefault="00396F56" w:rsidP="00E859E0">
            <w:r w:rsidRPr="00E859E0">
              <w:t xml:space="preserve">&lt; 50% </w:t>
            </w:r>
            <w:proofErr w:type="spellStart"/>
            <w:r w:rsidRPr="00E859E0">
              <w:t>disabled</w:t>
            </w:r>
            <w:proofErr w:type="spellEnd"/>
          </w:p>
        </w:tc>
        <w:tc>
          <w:tcPr>
            <w:tcW w:w="2080" w:type="pct"/>
            <w:tcBorders>
              <w:top w:val="nil"/>
              <w:left w:val="nil"/>
              <w:bottom w:val="single" w:sz="4" w:space="0" w:color="auto"/>
              <w:right w:val="single" w:sz="4" w:space="0" w:color="auto"/>
            </w:tcBorders>
            <w:shd w:val="clear" w:color="auto" w:fill="auto"/>
            <w:noWrap/>
            <w:vAlign w:val="center"/>
            <w:hideMark/>
          </w:tcPr>
          <w:p w14:paraId="24963DC0" w14:textId="77777777" w:rsidR="00396F56" w:rsidRPr="00E859E0" w:rsidRDefault="00396F56" w:rsidP="00E859E0">
            <w:pPr>
              <w:rPr>
                <w:lang w:val="en-GB"/>
              </w:rPr>
            </w:pPr>
            <w:r w:rsidRPr="00E859E0">
              <w:rPr>
                <w:lang w:val="en-GB"/>
              </w:rPr>
              <w:t>Up to 25% of the monthly value of individual support</w:t>
            </w:r>
          </w:p>
        </w:tc>
        <w:tc>
          <w:tcPr>
            <w:tcW w:w="1337" w:type="pct"/>
            <w:tcBorders>
              <w:top w:val="nil"/>
              <w:left w:val="nil"/>
              <w:bottom w:val="single" w:sz="4" w:space="0" w:color="auto"/>
              <w:right w:val="single" w:sz="4" w:space="0" w:color="auto"/>
            </w:tcBorders>
            <w:shd w:val="clear" w:color="auto" w:fill="auto"/>
            <w:noWrap/>
            <w:vAlign w:val="bottom"/>
            <w:hideMark/>
          </w:tcPr>
          <w:p w14:paraId="32CBAF1D" w14:textId="7676FF06" w:rsidR="00396F56" w:rsidRPr="00E859E0" w:rsidRDefault="00396F56" w:rsidP="00E859E0">
            <w:r w:rsidRPr="00E859E0">
              <w:t>40,00 €</w:t>
            </w:r>
          </w:p>
        </w:tc>
      </w:tr>
      <w:tr w:rsidR="00396F56" w:rsidRPr="009D4013" w14:paraId="47981A7A" w14:textId="77777777" w:rsidTr="00E859E0">
        <w:trPr>
          <w:trHeight w:val="288"/>
        </w:trPr>
        <w:tc>
          <w:tcPr>
            <w:tcW w:w="665" w:type="pct"/>
            <w:vMerge/>
            <w:tcBorders>
              <w:top w:val="nil"/>
              <w:left w:val="single" w:sz="4" w:space="0" w:color="auto"/>
              <w:bottom w:val="single" w:sz="4" w:space="0" w:color="000000"/>
              <w:right w:val="single" w:sz="4" w:space="0" w:color="auto"/>
            </w:tcBorders>
            <w:vAlign w:val="center"/>
            <w:hideMark/>
          </w:tcPr>
          <w:p w14:paraId="5110E39B" w14:textId="77777777" w:rsidR="00396F56" w:rsidRPr="00E859E0" w:rsidRDefault="00396F56" w:rsidP="00E859E0"/>
        </w:tc>
        <w:tc>
          <w:tcPr>
            <w:tcW w:w="918" w:type="pct"/>
            <w:tcBorders>
              <w:top w:val="nil"/>
              <w:left w:val="nil"/>
              <w:bottom w:val="single" w:sz="4" w:space="0" w:color="auto"/>
              <w:right w:val="single" w:sz="4" w:space="0" w:color="auto"/>
            </w:tcBorders>
            <w:shd w:val="clear" w:color="auto" w:fill="auto"/>
            <w:noWrap/>
            <w:vAlign w:val="center"/>
            <w:hideMark/>
          </w:tcPr>
          <w:p w14:paraId="0FF8999D" w14:textId="77777777" w:rsidR="00396F56" w:rsidRPr="00E859E0" w:rsidRDefault="00396F56" w:rsidP="00E859E0">
            <w:r w:rsidRPr="00E859E0">
              <w:t xml:space="preserve">&gt; 50% </w:t>
            </w:r>
            <w:proofErr w:type="spellStart"/>
            <w:r w:rsidRPr="00E859E0">
              <w:t>disabled</w:t>
            </w:r>
            <w:proofErr w:type="spellEnd"/>
          </w:p>
        </w:tc>
        <w:tc>
          <w:tcPr>
            <w:tcW w:w="2080" w:type="pct"/>
            <w:tcBorders>
              <w:top w:val="nil"/>
              <w:left w:val="nil"/>
              <w:bottom w:val="single" w:sz="4" w:space="0" w:color="auto"/>
              <w:right w:val="single" w:sz="4" w:space="0" w:color="auto"/>
            </w:tcBorders>
            <w:shd w:val="clear" w:color="auto" w:fill="auto"/>
            <w:noWrap/>
            <w:vAlign w:val="bottom"/>
            <w:hideMark/>
          </w:tcPr>
          <w:p w14:paraId="4F29C984" w14:textId="77777777" w:rsidR="00396F56" w:rsidRPr="00E859E0" w:rsidRDefault="00396F56" w:rsidP="00E859E0">
            <w:pPr>
              <w:rPr>
                <w:color w:val="000000"/>
                <w:sz w:val="22"/>
                <w:szCs w:val="22"/>
                <w:lang w:val="en-GB"/>
              </w:rPr>
            </w:pPr>
            <w:r w:rsidRPr="00E859E0">
              <w:rPr>
                <w:lang w:val="en-GB"/>
              </w:rPr>
              <w:t>Up to 50% of the monthly value of individual support</w:t>
            </w:r>
          </w:p>
        </w:tc>
        <w:tc>
          <w:tcPr>
            <w:tcW w:w="1337" w:type="pct"/>
            <w:tcBorders>
              <w:top w:val="nil"/>
              <w:left w:val="nil"/>
              <w:bottom w:val="single" w:sz="4" w:space="0" w:color="auto"/>
              <w:right w:val="single" w:sz="4" w:space="0" w:color="auto"/>
            </w:tcBorders>
            <w:shd w:val="clear" w:color="auto" w:fill="auto"/>
            <w:noWrap/>
            <w:vAlign w:val="bottom"/>
            <w:hideMark/>
          </w:tcPr>
          <w:p w14:paraId="1124B09C" w14:textId="1E8FDFD4" w:rsidR="00396F56" w:rsidRPr="00E859E0" w:rsidRDefault="00396F56" w:rsidP="00E859E0">
            <w:r w:rsidRPr="00E859E0">
              <w:t>80,00 €</w:t>
            </w:r>
          </w:p>
        </w:tc>
      </w:tr>
    </w:tbl>
    <w:p w14:paraId="313C90F0" w14:textId="77777777" w:rsidR="00510916" w:rsidRDefault="00510916" w:rsidP="00E859E0">
      <w:pPr>
        <w:rPr>
          <w:lang w:val="en-GB"/>
        </w:rPr>
      </w:pPr>
    </w:p>
    <w:p w14:paraId="0707560C" w14:textId="77777777" w:rsidR="00510916" w:rsidRDefault="00396F56" w:rsidP="00E859E0">
      <w:pPr>
        <w:rPr>
          <w:lang w:val="en-GB"/>
        </w:rPr>
      </w:pPr>
      <w:r w:rsidRPr="00E9236A">
        <w:rPr>
          <w:lang w:val="en-GB"/>
        </w:rPr>
        <w:t xml:space="preserve">Flat Rates for Accompanying </w:t>
      </w:r>
      <w:r>
        <w:rPr>
          <w:lang w:val="en-GB"/>
        </w:rPr>
        <w:t>P</w:t>
      </w:r>
      <w:r w:rsidRPr="00E9236A">
        <w:rPr>
          <w:lang w:val="en-GB"/>
        </w:rPr>
        <w:t>e</w:t>
      </w:r>
      <w:r>
        <w:rPr>
          <w:lang w:val="en-GB"/>
        </w:rPr>
        <w:t>rsons</w:t>
      </w:r>
      <w:r w:rsidRPr="00E9236A">
        <w:rPr>
          <w:lang w:val="en-GB"/>
        </w:rPr>
        <w:t xml:space="preserve"> of </w:t>
      </w:r>
      <w:r>
        <w:rPr>
          <w:lang w:val="en-GB"/>
        </w:rPr>
        <w:t>Staff Mobility</w:t>
      </w:r>
    </w:p>
    <w:p w14:paraId="3F7CD1C4" w14:textId="77777777" w:rsidR="00396F56" w:rsidRPr="009C098E" w:rsidRDefault="00396F56" w:rsidP="00E859E0">
      <w:pPr>
        <w:rPr>
          <w:lang w:val="en-GB"/>
        </w:rPr>
      </w:pPr>
    </w:p>
    <w:tbl>
      <w:tblPr>
        <w:tblW w:w="5000" w:type="pct"/>
        <w:tblCellMar>
          <w:left w:w="70" w:type="dxa"/>
          <w:right w:w="70" w:type="dxa"/>
        </w:tblCellMar>
        <w:tblLook w:val="04A0" w:firstRow="1" w:lastRow="0" w:firstColumn="1" w:lastColumn="0" w:noHBand="0" w:noVBand="1"/>
      </w:tblPr>
      <w:tblGrid>
        <w:gridCol w:w="1088"/>
        <w:gridCol w:w="1770"/>
        <w:gridCol w:w="1860"/>
        <w:gridCol w:w="3776"/>
      </w:tblGrid>
      <w:tr w:rsidR="00396F56" w:rsidRPr="00E859E0" w14:paraId="2B50E166" w14:textId="77777777" w:rsidTr="00752C66">
        <w:trPr>
          <w:trHeight w:val="864"/>
        </w:trPr>
        <w:tc>
          <w:tcPr>
            <w:tcW w:w="640"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32882A04" w14:textId="77777777" w:rsidR="00396F56" w:rsidRPr="00E859E0" w:rsidRDefault="00396F56" w:rsidP="00E859E0">
            <w:proofErr w:type="spellStart"/>
            <w:r w:rsidRPr="00E859E0">
              <w:t>Direction</w:t>
            </w:r>
            <w:proofErr w:type="spellEnd"/>
          </w:p>
          <w:p w14:paraId="2CC09ED1" w14:textId="77777777" w:rsidR="00396F56" w:rsidRPr="00E859E0" w:rsidRDefault="00396F56" w:rsidP="00E859E0">
            <w:proofErr w:type="spellStart"/>
            <w:r w:rsidRPr="00E859E0">
              <w:t>of</w:t>
            </w:r>
            <w:proofErr w:type="spellEnd"/>
            <w:r w:rsidRPr="00E859E0">
              <w:t xml:space="preserve"> </w:t>
            </w:r>
            <w:proofErr w:type="spellStart"/>
            <w:r w:rsidRPr="00E859E0">
              <w:t>mobility</w:t>
            </w:r>
            <w:proofErr w:type="spellEnd"/>
          </w:p>
        </w:tc>
        <w:tc>
          <w:tcPr>
            <w:tcW w:w="1042" w:type="pct"/>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749976B6" w14:textId="77777777" w:rsidR="00396F56" w:rsidRPr="00E859E0" w:rsidRDefault="00396F56" w:rsidP="00E859E0">
            <w:pPr>
              <w:rPr>
                <w:lang w:val="en-GB"/>
              </w:rPr>
            </w:pPr>
            <w:r w:rsidRPr="00E859E0">
              <w:rPr>
                <w:lang w:val="en-GB"/>
              </w:rPr>
              <w:t>Individual Support /</w:t>
            </w:r>
            <w:r w:rsidRPr="00E859E0">
              <w:rPr>
                <w:i/>
                <w:lang w:val="en-GB"/>
              </w:rPr>
              <w:t>Per Diem</w:t>
            </w:r>
            <w:r w:rsidRPr="00E859E0">
              <w:rPr>
                <w:lang w:val="en-GB"/>
              </w:rPr>
              <w:t xml:space="preserve"> up to 14 days</w:t>
            </w:r>
          </w:p>
        </w:tc>
        <w:tc>
          <w:tcPr>
            <w:tcW w:w="1095" w:type="pct"/>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3E6C2C90" w14:textId="77777777" w:rsidR="00396F56" w:rsidRPr="00E859E0" w:rsidRDefault="00396F56" w:rsidP="00E859E0">
            <w:pPr>
              <w:rPr>
                <w:lang w:val="en-GB"/>
              </w:rPr>
            </w:pPr>
            <w:r w:rsidRPr="00E859E0">
              <w:rPr>
                <w:lang w:val="en-GB"/>
              </w:rPr>
              <w:t>Individual Support /</w:t>
            </w:r>
            <w:r w:rsidRPr="00E859E0">
              <w:rPr>
                <w:i/>
                <w:lang w:val="en-GB"/>
              </w:rPr>
              <w:t>Per Diem</w:t>
            </w:r>
            <w:r w:rsidRPr="00E859E0">
              <w:rPr>
                <w:lang w:val="en-GB"/>
              </w:rPr>
              <w:t xml:space="preserve"> from the 15</w:t>
            </w:r>
            <w:r w:rsidRPr="00E859E0">
              <w:rPr>
                <w:vertAlign w:val="superscript"/>
                <w:lang w:val="en-GB"/>
              </w:rPr>
              <w:t>th</w:t>
            </w:r>
            <w:r w:rsidRPr="00E859E0">
              <w:rPr>
                <w:lang w:val="en-GB"/>
              </w:rPr>
              <w:t xml:space="preserve"> to the 60</w:t>
            </w:r>
            <w:r w:rsidRPr="00E859E0">
              <w:rPr>
                <w:vertAlign w:val="superscript"/>
                <w:lang w:val="en-GB"/>
              </w:rPr>
              <w:t>th</w:t>
            </w:r>
            <w:r w:rsidRPr="00E859E0">
              <w:rPr>
                <w:lang w:val="en-GB"/>
              </w:rPr>
              <w:t xml:space="preserve"> day</w:t>
            </w:r>
          </w:p>
          <w:p w14:paraId="56F6614F" w14:textId="77777777" w:rsidR="00C63327" w:rsidRPr="00E859E0" w:rsidRDefault="00C63327" w:rsidP="00E859E0">
            <w:pPr>
              <w:rPr>
                <w:lang w:val="en-GB"/>
              </w:rPr>
            </w:pPr>
          </w:p>
        </w:tc>
        <w:tc>
          <w:tcPr>
            <w:tcW w:w="2223" w:type="pct"/>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44FFFB1A" w14:textId="77777777" w:rsidR="00396F56" w:rsidRPr="00E859E0" w:rsidRDefault="00396F56" w:rsidP="00E859E0">
            <w:proofErr w:type="spellStart"/>
            <w:r w:rsidRPr="00E859E0">
              <w:t>Travel</w:t>
            </w:r>
            <w:proofErr w:type="spellEnd"/>
          </w:p>
        </w:tc>
      </w:tr>
      <w:tr w:rsidR="00396F56" w:rsidRPr="00E859E0" w14:paraId="4814119F" w14:textId="77777777" w:rsidTr="00752C66">
        <w:trPr>
          <w:trHeight w:val="385"/>
        </w:trPr>
        <w:tc>
          <w:tcPr>
            <w:tcW w:w="64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8E3CE6F" w14:textId="77777777" w:rsidR="00396F56" w:rsidRPr="00E859E0" w:rsidRDefault="00396F56" w:rsidP="00E859E0">
            <w:proofErr w:type="spellStart"/>
            <w:r w:rsidRPr="00E859E0">
              <w:t>Incoming</w:t>
            </w:r>
            <w:proofErr w:type="spellEnd"/>
          </w:p>
        </w:tc>
        <w:tc>
          <w:tcPr>
            <w:tcW w:w="104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67363FF" w14:textId="5F4C39C6" w:rsidR="00396F56" w:rsidRPr="00E859E0" w:rsidRDefault="00396F56" w:rsidP="00E859E0">
            <w:r w:rsidRPr="00E859E0">
              <w:t>120,00 €</w:t>
            </w:r>
          </w:p>
        </w:tc>
        <w:tc>
          <w:tcPr>
            <w:tcW w:w="1095"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03D00827" w14:textId="6B311340" w:rsidR="00396F56" w:rsidRPr="00E859E0" w:rsidRDefault="00396F56" w:rsidP="00E859E0">
            <w:r w:rsidRPr="00E859E0">
              <w:t>84,00 €</w:t>
            </w:r>
          </w:p>
        </w:tc>
        <w:tc>
          <w:tcPr>
            <w:tcW w:w="2223" w:type="pct"/>
            <w:vMerge w:val="restart"/>
            <w:tcBorders>
              <w:top w:val="nil"/>
              <w:left w:val="single" w:sz="4" w:space="0" w:color="auto"/>
              <w:bottom w:val="single" w:sz="4" w:space="0" w:color="auto"/>
              <w:right w:val="single" w:sz="4" w:space="0" w:color="auto"/>
            </w:tcBorders>
            <w:shd w:val="clear" w:color="auto" w:fill="auto"/>
            <w:vAlign w:val="center"/>
            <w:hideMark/>
          </w:tcPr>
          <w:p w14:paraId="6E5182CE" w14:textId="304C4225" w:rsidR="00396F56" w:rsidRPr="00E859E0" w:rsidRDefault="00396F56" w:rsidP="00E859E0">
            <w:pPr>
              <w:rPr>
                <w:lang w:val="en-GB"/>
              </w:rPr>
            </w:pPr>
            <w:r w:rsidRPr="00E859E0">
              <w:rPr>
                <w:lang w:val="en-GB"/>
              </w:rPr>
              <w:t>The value of the travel support for the accompanying person is the same as the travel grant awarded to the mobility participant. Travel support flat rates are awarded according to the distance band.</w:t>
            </w:r>
          </w:p>
        </w:tc>
      </w:tr>
      <w:tr w:rsidR="00396F56" w:rsidRPr="00E859E0" w14:paraId="699D7B65" w14:textId="77777777" w:rsidTr="00752C66">
        <w:trPr>
          <w:trHeight w:val="385"/>
        </w:trPr>
        <w:tc>
          <w:tcPr>
            <w:tcW w:w="640" w:type="pct"/>
            <w:vMerge/>
            <w:tcBorders>
              <w:top w:val="nil"/>
              <w:left w:val="single" w:sz="4" w:space="0" w:color="auto"/>
              <w:bottom w:val="single" w:sz="4" w:space="0" w:color="auto"/>
              <w:right w:val="single" w:sz="4" w:space="0" w:color="auto"/>
            </w:tcBorders>
            <w:vAlign w:val="center"/>
            <w:hideMark/>
          </w:tcPr>
          <w:p w14:paraId="44F4D31C" w14:textId="77777777" w:rsidR="00396F56" w:rsidRPr="00E859E0" w:rsidRDefault="00396F56" w:rsidP="00E859E0">
            <w:pPr>
              <w:rPr>
                <w:lang w:val="en-GB"/>
              </w:rPr>
            </w:pPr>
          </w:p>
        </w:tc>
        <w:tc>
          <w:tcPr>
            <w:tcW w:w="1042" w:type="pct"/>
            <w:vMerge/>
            <w:tcBorders>
              <w:top w:val="nil"/>
              <w:left w:val="single" w:sz="4" w:space="0" w:color="auto"/>
              <w:bottom w:val="single" w:sz="4" w:space="0" w:color="auto"/>
              <w:right w:val="single" w:sz="4" w:space="0" w:color="auto"/>
            </w:tcBorders>
            <w:vAlign w:val="center"/>
            <w:hideMark/>
          </w:tcPr>
          <w:p w14:paraId="7F53A48C" w14:textId="77777777" w:rsidR="00396F56" w:rsidRPr="00E859E0" w:rsidRDefault="00396F56" w:rsidP="00E859E0">
            <w:pPr>
              <w:rPr>
                <w:lang w:val="en-GB"/>
              </w:rPr>
            </w:pPr>
          </w:p>
        </w:tc>
        <w:tc>
          <w:tcPr>
            <w:tcW w:w="1095" w:type="pct"/>
            <w:vMerge/>
            <w:tcBorders>
              <w:top w:val="nil"/>
              <w:left w:val="single" w:sz="4" w:space="0" w:color="auto"/>
              <w:bottom w:val="single" w:sz="4" w:space="0" w:color="000000"/>
              <w:right w:val="single" w:sz="4" w:space="0" w:color="auto"/>
            </w:tcBorders>
            <w:vAlign w:val="center"/>
            <w:hideMark/>
          </w:tcPr>
          <w:p w14:paraId="46DC84B9" w14:textId="77777777" w:rsidR="00396F56" w:rsidRPr="00E859E0" w:rsidRDefault="00396F56" w:rsidP="00E859E0">
            <w:pPr>
              <w:rPr>
                <w:lang w:val="en-GB"/>
              </w:rPr>
            </w:pPr>
          </w:p>
        </w:tc>
        <w:tc>
          <w:tcPr>
            <w:tcW w:w="2223" w:type="pct"/>
            <w:vMerge/>
            <w:tcBorders>
              <w:top w:val="nil"/>
              <w:left w:val="single" w:sz="4" w:space="0" w:color="auto"/>
              <w:bottom w:val="single" w:sz="4" w:space="0" w:color="auto"/>
              <w:right w:val="single" w:sz="4" w:space="0" w:color="auto"/>
            </w:tcBorders>
            <w:vAlign w:val="center"/>
            <w:hideMark/>
          </w:tcPr>
          <w:p w14:paraId="14DC7C69" w14:textId="77777777" w:rsidR="00396F56" w:rsidRPr="00E859E0" w:rsidRDefault="00396F56" w:rsidP="00E859E0">
            <w:pPr>
              <w:rPr>
                <w:lang w:val="en-GB"/>
              </w:rPr>
            </w:pPr>
          </w:p>
        </w:tc>
      </w:tr>
      <w:tr w:rsidR="00396F56" w:rsidRPr="00E859E0" w14:paraId="56CF627C" w14:textId="77777777" w:rsidTr="00752C66">
        <w:trPr>
          <w:trHeight w:val="385"/>
        </w:trPr>
        <w:tc>
          <w:tcPr>
            <w:tcW w:w="64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993B4D2" w14:textId="77777777" w:rsidR="00396F56" w:rsidRPr="00E859E0" w:rsidRDefault="00396F56" w:rsidP="00E859E0">
            <w:proofErr w:type="spellStart"/>
            <w:r w:rsidRPr="00E859E0">
              <w:t>Outgoing</w:t>
            </w:r>
            <w:proofErr w:type="spellEnd"/>
          </w:p>
        </w:tc>
        <w:tc>
          <w:tcPr>
            <w:tcW w:w="104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8CC20B" w14:textId="5CB98BFE" w:rsidR="00396F56" w:rsidRPr="00E859E0" w:rsidRDefault="00396F56" w:rsidP="00E859E0">
            <w:r w:rsidRPr="00E859E0">
              <w:t>160,00 €</w:t>
            </w:r>
          </w:p>
        </w:tc>
        <w:tc>
          <w:tcPr>
            <w:tcW w:w="1095"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3CFCED19" w14:textId="0ACCE15F" w:rsidR="00396F56" w:rsidRPr="00E859E0" w:rsidRDefault="00396F56" w:rsidP="00E859E0">
            <w:r w:rsidRPr="00E859E0">
              <w:t>112,00 €</w:t>
            </w:r>
          </w:p>
        </w:tc>
        <w:tc>
          <w:tcPr>
            <w:tcW w:w="2223" w:type="pct"/>
            <w:vMerge/>
            <w:tcBorders>
              <w:top w:val="nil"/>
              <w:left w:val="single" w:sz="4" w:space="0" w:color="auto"/>
              <w:bottom w:val="single" w:sz="4" w:space="0" w:color="auto"/>
              <w:right w:val="single" w:sz="4" w:space="0" w:color="auto"/>
            </w:tcBorders>
            <w:vAlign w:val="center"/>
            <w:hideMark/>
          </w:tcPr>
          <w:p w14:paraId="4E20AE66" w14:textId="77777777" w:rsidR="00396F56" w:rsidRPr="00E859E0" w:rsidRDefault="00396F56" w:rsidP="00E859E0"/>
        </w:tc>
      </w:tr>
      <w:tr w:rsidR="00396F56" w:rsidRPr="00E859E0" w14:paraId="32A761EE" w14:textId="77777777" w:rsidTr="00752C66">
        <w:trPr>
          <w:trHeight w:val="385"/>
        </w:trPr>
        <w:tc>
          <w:tcPr>
            <w:tcW w:w="640" w:type="pct"/>
            <w:vMerge/>
            <w:tcBorders>
              <w:top w:val="nil"/>
              <w:left w:val="single" w:sz="4" w:space="0" w:color="auto"/>
              <w:bottom w:val="single" w:sz="4" w:space="0" w:color="auto"/>
              <w:right w:val="single" w:sz="4" w:space="0" w:color="auto"/>
            </w:tcBorders>
            <w:vAlign w:val="center"/>
            <w:hideMark/>
          </w:tcPr>
          <w:p w14:paraId="6D020A4F" w14:textId="77777777" w:rsidR="00396F56" w:rsidRPr="00E859E0" w:rsidRDefault="00396F56" w:rsidP="00E859E0"/>
        </w:tc>
        <w:tc>
          <w:tcPr>
            <w:tcW w:w="1042" w:type="pct"/>
            <w:vMerge/>
            <w:tcBorders>
              <w:top w:val="nil"/>
              <w:left w:val="single" w:sz="4" w:space="0" w:color="auto"/>
              <w:bottom w:val="single" w:sz="4" w:space="0" w:color="auto"/>
              <w:right w:val="single" w:sz="4" w:space="0" w:color="auto"/>
            </w:tcBorders>
            <w:vAlign w:val="center"/>
            <w:hideMark/>
          </w:tcPr>
          <w:p w14:paraId="02525BAF" w14:textId="77777777" w:rsidR="00396F56" w:rsidRPr="00E859E0" w:rsidRDefault="00396F56" w:rsidP="00E859E0"/>
        </w:tc>
        <w:tc>
          <w:tcPr>
            <w:tcW w:w="1095" w:type="pct"/>
            <w:vMerge/>
            <w:tcBorders>
              <w:top w:val="nil"/>
              <w:left w:val="single" w:sz="4" w:space="0" w:color="auto"/>
              <w:bottom w:val="single" w:sz="4" w:space="0" w:color="000000"/>
              <w:right w:val="single" w:sz="4" w:space="0" w:color="auto"/>
            </w:tcBorders>
            <w:vAlign w:val="center"/>
            <w:hideMark/>
          </w:tcPr>
          <w:p w14:paraId="2C93FA1A" w14:textId="77777777" w:rsidR="00396F56" w:rsidRPr="00E859E0" w:rsidRDefault="00396F56" w:rsidP="00E859E0"/>
        </w:tc>
        <w:tc>
          <w:tcPr>
            <w:tcW w:w="2223" w:type="pct"/>
            <w:vMerge/>
            <w:tcBorders>
              <w:top w:val="nil"/>
              <w:left w:val="single" w:sz="4" w:space="0" w:color="auto"/>
              <w:bottom w:val="single" w:sz="4" w:space="0" w:color="auto"/>
              <w:right w:val="single" w:sz="4" w:space="0" w:color="auto"/>
            </w:tcBorders>
            <w:vAlign w:val="center"/>
            <w:hideMark/>
          </w:tcPr>
          <w:p w14:paraId="43EE93C2" w14:textId="77777777" w:rsidR="00396F56" w:rsidRPr="00E859E0" w:rsidRDefault="00396F56" w:rsidP="00E859E0"/>
        </w:tc>
      </w:tr>
    </w:tbl>
    <w:p w14:paraId="5DE60ACB" w14:textId="77777777" w:rsidR="00E27D26" w:rsidRPr="00E27D26" w:rsidRDefault="00E27D26" w:rsidP="00E859E0">
      <w:pPr>
        <w:rPr>
          <w:lang w:val="en-GB"/>
        </w:rPr>
      </w:pPr>
    </w:p>
    <w:sectPr w:rsidR="00E27D26" w:rsidRPr="00E27D26" w:rsidSect="00510916">
      <w:headerReference w:type="default"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AC67D" w14:textId="77777777" w:rsidR="00510916" w:rsidRDefault="00510916" w:rsidP="00E859E0">
      <w:r>
        <w:separator/>
      </w:r>
    </w:p>
  </w:endnote>
  <w:endnote w:type="continuationSeparator" w:id="0">
    <w:p w14:paraId="7C2D71DD" w14:textId="77777777" w:rsidR="00510916" w:rsidRDefault="00510916" w:rsidP="00E8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965478"/>
      <w:docPartObj>
        <w:docPartGallery w:val="Page Numbers (Bottom of Page)"/>
        <w:docPartUnique/>
      </w:docPartObj>
    </w:sdtPr>
    <w:sdtContent>
      <w:p w14:paraId="06DFDF2C" w14:textId="5DB16AC5" w:rsidR="00E859E0" w:rsidRDefault="00E859E0" w:rsidP="00E859E0">
        <w:pPr>
          <w:pStyle w:val="Rodap"/>
        </w:pPr>
        <w:r>
          <w:fldChar w:fldCharType="begin"/>
        </w:r>
        <w:r>
          <w:instrText>PAGE   \* MERGEFORMAT</w:instrText>
        </w:r>
        <w:r>
          <w:fldChar w:fldCharType="separate"/>
        </w:r>
        <w:r>
          <w:t>2</w:t>
        </w:r>
        <w:r>
          <w:fldChar w:fldCharType="end"/>
        </w:r>
      </w:p>
    </w:sdtContent>
  </w:sdt>
  <w:p w14:paraId="4025D818" w14:textId="77777777" w:rsidR="00E859E0" w:rsidRDefault="00E859E0" w:rsidP="00E859E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8CF1" w14:textId="77777777" w:rsidR="001A7B75" w:rsidRDefault="00960033">
    <w:pPr>
      <w:pStyle w:val="Rodap1"/>
      <w:tabs>
        <w:tab w:val="clear" w:pos="4252"/>
        <w:tab w:val="clear" w:pos="8504"/>
        <w:tab w:val="left" w:pos="1397"/>
      </w:tabs>
      <w:rPr>
        <w:rFonts w:cs="Times New Roman"/>
        <w:color w:val="auto"/>
      </w:rPr>
    </w:pPr>
    <w:r>
      <w:rPr>
        <w:rStyle w:val="Nmerodepgina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E6AA5" w14:textId="77777777" w:rsidR="00510916" w:rsidRDefault="00510916" w:rsidP="00E859E0">
      <w:r>
        <w:separator/>
      </w:r>
    </w:p>
  </w:footnote>
  <w:footnote w:type="continuationSeparator" w:id="0">
    <w:p w14:paraId="4CCE060C" w14:textId="77777777" w:rsidR="00510916" w:rsidRDefault="00510916" w:rsidP="00E85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6D26" w14:textId="77777777" w:rsidR="00C63327" w:rsidRDefault="00C63327" w:rsidP="00E859E0">
    <w:pPr>
      <w:pStyle w:val="Cabealho"/>
    </w:pPr>
    <w:r>
      <w:rPr>
        <w:noProof/>
      </w:rPr>
      <w:drawing>
        <wp:anchor distT="0" distB="0" distL="114300" distR="114300" simplePos="0" relativeHeight="251661312" behindDoc="0" locked="0" layoutInCell="1" allowOverlap="1" wp14:anchorId="69685E5F" wp14:editId="63F95839">
          <wp:simplePos x="0" y="0"/>
          <wp:positionH relativeFrom="column">
            <wp:posOffset>4076700</wp:posOffset>
          </wp:positionH>
          <wp:positionV relativeFrom="paragraph">
            <wp:posOffset>-29210</wp:posOffset>
          </wp:positionV>
          <wp:extent cx="2037600" cy="860400"/>
          <wp:effectExtent l="0" t="0" r="127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logo erasm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7600" cy="860400"/>
                  </a:xfrm>
                  <a:prstGeom prst="rect">
                    <a:avLst/>
                  </a:prstGeom>
                </pic:spPr>
              </pic:pic>
            </a:graphicData>
          </a:graphic>
          <wp14:sizeRelH relativeFrom="margin">
            <wp14:pctWidth>0</wp14:pctWidth>
          </wp14:sizeRelH>
          <wp14:sizeRelV relativeFrom="margin">
            <wp14:pctHeight>0</wp14:pctHeight>
          </wp14:sizeRelV>
        </wp:anchor>
      </w:drawing>
    </w:r>
    <w:r>
      <w:rPr>
        <w:rStyle w:val="Nmerodepgina1"/>
        <w:noProof/>
      </w:rPr>
      <w:drawing>
        <wp:anchor distT="0" distB="0" distL="114300" distR="114300" simplePos="0" relativeHeight="251659264" behindDoc="0" locked="0" layoutInCell="1" allowOverlap="1" wp14:anchorId="312AB024" wp14:editId="4DB42D6B">
          <wp:simplePos x="0" y="0"/>
          <wp:positionH relativeFrom="column">
            <wp:posOffset>-11430</wp:posOffset>
          </wp:positionH>
          <wp:positionV relativeFrom="paragraph">
            <wp:posOffset>-635</wp:posOffset>
          </wp:positionV>
          <wp:extent cx="1638000" cy="831600"/>
          <wp:effectExtent l="0" t="0" r="635" b="0"/>
          <wp:wrapNone/>
          <wp:docPr id="22" name="Imagem 2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8316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F7C9" w14:textId="77777777" w:rsidR="001A7B75" w:rsidRDefault="00510916">
    <w:pPr>
      <w:pStyle w:val="Cabealho1"/>
      <w:tabs>
        <w:tab w:val="clear" w:pos="4320"/>
        <w:tab w:val="clear" w:pos="8640"/>
        <w:tab w:val="center" w:pos="4749"/>
        <w:tab w:val="right" w:pos="9498"/>
      </w:tabs>
    </w:pPr>
    <w:r>
      <w:rPr>
        <w:noProof/>
      </w:rPr>
      <w:drawing>
        <wp:anchor distT="0" distB="0" distL="114300" distR="114300" simplePos="0" relativeHeight="251658240" behindDoc="0" locked="0" layoutInCell="1" allowOverlap="1" wp14:anchorId="52B74156" wp14:editId="5B524F4A">
          <wp:simplePos x="0" y="0"/>
          <wp:positionH relativeFrom="column">
            <wp:posOffset>3859530</wp:posOffset>
          </wp:positionH>
          <wp:positionV relativeFrom="paragraph">
            <wp:posOffset>114935</wp:posOffset>
          </wp:positionV>
          <wp:extent cx="2037600" cy="860400"/>
          <wp:effectExtent l="0" t="0" r="127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logo erasm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7600" cy="860400"/>
                  </a:xfrm>
                  <a:prstGeom prst="rect">
                    <a:avLst/>
                  </a:prstGeom>
                </pic:spPr>
              </pic:pic>
            </a:graphicData>
          </a:graphic>
          <wp14:sizeRelH relativeFrom="margin">
            <wp14:pctWidth>0</wp14:pctWidth>
          </wp14:sizeRelH>
          <wp14:sizeRelV relativeFrom="margin">
            <wp14:pctHeight>0</wp14:pctHeight>
          </wp14:sizeRelV>
        </wp:anchor>
      </w:drawing>
    </w:r>
  </w:p>
  <w:p w14:paraId="7B6689BF" w14:textId="77777777" w:rsidR="001A7B75" w:rsidRDefault="00510916">
    <w:pPr>
      <w:pStyle w:val="Cabealho1"/>
      <w:rPr>
        <w:rStyle w:val="Nmerodepgina1"/>
      </w:rPr>
    </w:pPr>
    <w:r>
      <w:rPr>
        <w:rStyle w:val="Nmerodepgina1"/>
        <w:noProof/>
      </w:rPr>
      <w:drawing>
        <wp:inline distT="0" distB="0" distL="0" distR="0" wp14:anchorId="7FB8BBEC" wp14:editId="6D0E381B">
          <wp:extent cx="1638300" cy="830580"/>
          <wp:effectExtent l="0" t="0" r="0" b="0"/>
          <wp:docPr id="21" name="Imagem 2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830580"/>
                  </a:xfrm>
                  <a:prstGeom prst="rect">
                    <a:avLst/>
                  </a:prstGeom>
                  <a:noFill/>
                  <a:ln>
                    <a:noFill/>
                  </a:ln>
                  <a:effectLst/>
                </pic:spPr>
              </pic:pic>
            </a:graphicData>
          </a:graphic>
        </wp:inline>
      </w:drawing>
    </w:r>
  </w:p>
  <w:p w14:paraId="27BF5947" w14:textId="77777777" w:rsidR="001A7B75" w:rsidRDefault="00E859E0">
    <w:pPr>
      <w:pStyle w:val="Cabealho1"/>
      <w:tabs>
        <w:tab w:val="clear" w:pos="4320"/>
        <w:tab w:val="clear" w:pos="8640"/>
        <w:tab w:val="center" w:pos="4749"/>
        <w:tab w:val="right" w:pos="9498"/>
      </w:tabs>
      <w:jc w:val="center"/>
      <w:rPr>
        <w:rFonts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916"/>
    <w:rsid w:val="00396F56"/>
    <w:rsid w:val="003A3D53"/>
    <w:rsid w:val="00510916"/>
    <w:rsid w:val="00531AF2"/>
    <w:rsid w:val="00626280"/>
    <w:rsid w:val="00752C66"/>
    <w:rsid w:val="00960033"/>
    <w:rsid w:val="009C098E"/>
    <w:rsid w:val="009D4013"/>
    <w:rsid w:val="00C01BFE"/>
    <w:rsid w:val="00C36904"/>
    <w:rsid w:val="00C63327"/>
    <w:rsid w:val="00E27D26"/>
    <w:rsid w:val="00E859E0"/>
    <w:rsid w:val="00E9236A"/>
    <w:rsid w:val="00F4202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7807A7"/>
  <w15:chartTrackingRefBased/>
  <w15:docId w15:val="{01AA9E60-5E57-4619-98D7-4F047EA8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E859E0"/>
    <w:pPr>
      <w:spacing w:after="0" w:line="240" w:lineRule="auto"/>
      <w:jc w:val="center"/>
    </w:pPr>
    <w:rPr>
      <w:rFonts w:ascii="Gill Sans MT" w:eastAsia="Times New Roman" w:hAnsi="Gill Sans MT" w:cs="Times New Roman"/>
      <w:b/>
      <w:bCs/>
      <w:color w:val="404040" w:themeColor="text1" w:themeTint="BF"/>
      <w:sz w:val="18"/>
      <w:szCs w:val="1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erFooter">
    <w:name w:val="Header &amp; Footer"/>
    <w:rsid w:val="00510916"/>
    <w:pPr>
      <w:tabs>
        <w:tab w:val="right" w:pos="9020"/>
      </w:tabs>
      <w:spacing w:after="0" w:line="240" w:lineRule="auto"/>
    </w:pPr>
    <w:rPr>
      <w:rFonts w:ascii="Helvetica" w:eastAsia="Arial Unicode MS" w:hAnsi="Helvetica" w:cs="Arial Unicode MS"/>
      <w:color w:val="000000"/>
      <w:sz w:val="24"/>
      <w:szCs w:val="24"/>
      <w:lang w:eastAsia="pt-PT"/>
    </w:rPr>
  </w:style>
  <w:style w:type="paragraph" w:customStyle="1" w:styleId="Cabealho1">
    <w:name w:val="Cabeçalho1"/>
    <w:rsid w:val="00510916"/>
    <w:pPr>
      <w:tabs>
        <w:tab w:val="center" w:pos="4320"/>
        <w:tab w:val="right" w:pos="8640"/>
      </w:tabs>
      <w:spacing w:after="0" w:line="240" w:lineRule="auto"/>
    </w:pPr>
    <w:rPr>
      <w:rFonts w:ascii="Times New Roman" w:eastAsia="Arial Unicode MS" w:hAnsi="Times New Roman" w:cs="Arial Unicode MS"/>
      <w:color w:val="000000"/>
      <w:sz w:val="20"/>
      <w:szCs w:val="20"/>
      <w:u w:color="000000"/>
      <w:lang w:eastAsia="pt-PT"/>
    </w:rPr>
  </w:style>
  <w:style w:type="character" w:customStyle="1" w:styleId="Nmerodepgina1">
    <w:name w:val="Número de página1"/>
    <w:rsid w:val="00510916"/>
  </w:style>
  <w:style w:type="paragraph" w:customStyle="1" w:styleId="Rodap1">
    <w:name w:val="Rodapé1"/>
    <w:rsid w:val="00510916"/>
    <w:pPr>
      <w:tabs>
        <w:tab w:val="center" w:pos="4252"/>
        <w:tab w:val="right" w:pos="8504"/>
      </w:tabs>
      <w:spacing w:after="0" w:line="240" w:lineRule="auto"/>
    </w:pPr>
    <w:rPr>
      <w:rFonts w:ascii="Times New Roman" w:eastAsia="Arial Unicode MS" w:hAnsi="Times New Roman" w:cs="Arial Unicode MS"/>
      <w:color w:val="000000"/>
      <w:sz w:val="20"/>
      <w:szCs w:val="20"/>
      <w:u w:color="000000"/>
      <w:lang w:eastAsia="pt-PT"/>
    </w:rPr>
  </w:style>
  <w:style w:type="paragraph" w:customStyle="1" w:styleId="Body">
    <w:name w:val="Body"/>
    <w:rsid w:val="00510916"/>
    <w:pPr>
      <w:spacing w:after="200" w:line="276" w:lineRule="auto"/>
    </w:pPr>
    <w:rPr>
      <w:rFonts w:ascii="Calibri" w:eastAsia="Calibri" w:hAnsi="Calibri" w:cs="Calibri"/>
      <w:color w:val="000000"/>
      <w:u w:color="000000"/>
      <w:lang w:eastAsia="pt-PT"/>
    </w:rPr>
  </w:style>
  <w:style w:type="paragraph" w:styleId="Cabealho">
    <w:name w:val="header"/>
    <w:basedOn w:val="Normal"/>
    <w:link w:val="CabealhoCarter"/>
    <w:uiPriority w:val="99"/>
    <w:unhideWhenUsed/>
    <w:rsid w:val="00510916"/>
    <w:pPr>
      <w:tabs>
        <w:tab w:val="center" w:pos="4252"/>
        <w:tab w:val="right" w:pos="8504"/>
      </w:tabs>
    </w:pPr>
  </w:style>
  <w:style w:type="character" w:customStyle="1" w:styleId="CabealhoCarter">
    <w:name w:val="Cabeçalho Caráter"/>
    <w:basedOn w:val="Tipodeletrapredefinidodopargrafo"/>
    <w:link w:val="Cabealho"/>
    <w:uiPriority w:val="99"/>
    <w:rsid w:val="00510916"/>
    <w:rPr>
      <w:rFonts w:ascii="Gill Sans MT" w:eastAsia="Gill Sans MT" w:hAnsi="Gill Sans MT" w:cs="Gill Sans MT"/>
      <w:b/>
      <w:bCs/>
      <w:color w:val="3B3838" w:themeColor="background2" w:themeShade="40"/>
      <w:sz w:val="20"/>
      <w:szCs w:val="20"/>
      <w:u w:color="FFFFFF"/>
      <w:lang w:val="it-IT"/>
    </w:rPr>
  </w:style>
  <w:style w:type="paragraph" w:styleId="Rodap">
    <w:name w:val="footer"/>
    <w:basedOn w:val="Normal"/>
    <w:link w:val="RodapCarter"/>
    <w:uiPriority w:val="99"/>
    <w:unhideWhenUsed/>
    <w:rsid w:val="00510916"/>
    <w:pPr>
      <w:tabs>
        <w:tab w:val="center" w:pos="4252"/>
        <w:tab w:val="right" w:pos="8504"/>
      </w:tabs>
    </w:pPr>
  </w:style>
  <w:style w:type="character" w:customStyle="1" w:styleId="RodapCarter">
    <w:name w:val="Rodapé Caráter"/>
    <w:basedOn w:val="Tipodeletrapredefinidodopargrafo"/>
    <w:link w:val="Rodap"/>
    <w:uiPriority w:val="99"/>
    <w:rsid w:val="00510916"/>
    <w:rPr>
      <w:rFonts w:ascii="Gill Sans MT" w:eastAsia="Gill Sans MT" w:hAnsi="Gill Sans MT" w:cs="Gill Sans MT"/>
      <w:b/>
      <w:bCs/>
      <w:color w:val="3B3838" w:themeColor="background2" w:themeShade="40"/>
      <w:sz w:val="20"/>
      <w:szCs w:val="20"/>
      <w:u w:color="FFFFFF"/>
      <w:lang w:val="it-IT"/>
    </w:rPr>
  </w:style>
  <w:style w:type="character" w:styleId="Hiperligao">
    <w:name w:val="Hyperlink"/>
    <w:basedOn w:val="Tipodeletrapredefinidodopargrafo"/>
    <w:uiPriority w:val="99"/>
    <w:unhideWhenUsed/>
    <w:rsid w:val="009D4013"/>
    <w:rPr>
      <w:color w:val="0563C1" w:themeColor="hyperlink"/>
      <w:u w:val="single"/>
    </w:rPr>
  </w:style>
  <w:style w:type="character" w:customStyle="1" w:styleId="Hyperlink0">
    <w:name w:val="Hyperlink.0"/>
    <w:rsid w:val="00C63327"/>
    <w:rPr>
      <w:rFonts w:ascii="Century Gothic" w:eastAsia="Century Gothic" w:hAnsi="Century Gothic" w:cs="Century Gothic"/>
      <w:color w:val="FF26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1992">
      <w:bodyDiv w:val="1"/>
      <w:marLeft w:val="0"/>
      <w:marRight w:val="0"/>
      <w:marTop w:val="0"/>
      <w:marBottom w:val="0"/>
      <w:divBdr>
        <w:top w:val="none" w:sz="0" w:space="0" w:color="auto"/>
        <w:left w:val="none" w:sz="0" w:space="0" w:color="auto"/>
        <w:bottom w:val="none" w:sz="0" w:space="0" w:color="auto"/>
        <w:right w:val="none" w:sz="0" w:space="0" w:color="auto"/>
      </w:divBdr>
    </w:div>
    <w:div w:id="1114865070">
      <w:bodyDiv w:val="1"/>
      <w:marLeft w:val="0"/>
      <w:marRight w:val="0"/>
      <w:marTop w:val="0"/>
      <w:marBottom w:val="0"/>
      <w:divBdr>
        <w:top w:val="none" w:sz="0" w:space="0" w:color="auto"/>
        <w:left w:val="none" w:sz="0" w:space="0" w:color="auto"/>
        <w:bottom w:val="none" w:sz="0" w:space="0" w:color="auto"/>
        <w:right w:val="none" w:sz="0" w:space="0" w:color="auto"/>
      </w:divBdr>
    </w:div>
    <w:div w:id="1753425991">
      <w:bodyDiv w:val="1"/>
      <w:marLeft w:val="0"/>
      <w:marRight w:val="0"/>
      <w:marTop w:val="0"/>
      <w:marBottom w:val="0"/>
      <w:divBdr>
        <w:top w:val="none" w:sz="0" w:space="0" w:color="auto"/>
        <w:left w:val="none" w:sz="0" w:space="0" w:color="auto"/>
        <w:bottom w:val="none" w:sz="0" w:space="0" w:color="auto"/>
        <w:right w:val="none" w:sz="0" w:space="0" w:color="auto"/>
      </w:divBdr>
    </w:div>
    <w:div w:id="18520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10" ma:contentTypeDescription="Criar um novo documento." ma:contentTypeScope="" ma:versionID="0731eda3a0528752c8db69a03aef918f">
  <xsd:schema xmlns:xsd="http://www.w3.org/2001/XMLSchema" xmlns:xs="http://www.w3.org/2001/XMLSchema" xmlns:p="http://schemas.microsoft.com/office/2006/metadata/properties" xmlns:ns2="b7b9da82-d3de-48fa-ab3b-8defd2a167d0" xmlns:ns3="85810a00-730b-4f3b-9944-25dd2bca15bc" targetNamespace="http://schemas.microsoft.com/office/2006/metadata/properties" ma:root="true" ma:fieldsID="980a570ecc8247babe2328a6f8886fd6" ns2:_="" ns3:_="">
    <xsd:import namespace="b7b9da82-d3de-48fa-ab3b-8defd2a167d0"/>
    <xsd:import namespace="85810a00-730b-4f3b-9944-25dd2bca15b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10a00-730b-4f3b-9944-25dd2bca15b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7b9da82-d3de-48fa-ab3b-8defd2a167d0">TQKX25ZZWEZS-630058377-854767</_dlc_DocId>
    <_dlc_DocIdUrl xmlns="b7b9da82-d3de-48fa-ab3b-8defd2a167d0">
      <Url>https://proalv.sharepoint.com/sites/FileShare/_layouts/15/DocIdRedir.aspx?ID=TQKX25ZZWEZS-630058377-854767</Url>
      <Description>TQKX25ZZWEZS-630058377-854767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61303-0FA3-4DF2-B4B8-4DB51F800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85810a00-730b-4f3b-9944-25dd2bca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2AF1-1751-4AF2-9A0F-78EF6D7971BF}">
  <ds:schemaRefs>
    <ds:schemaRef ds:uri="85810a00-730b-4f3b-9944-25dd2bca15bc"/>
    <ds:schemaRef ds:uri="http://purl.org/dc/elements/1.1/"/>
    <ds:schemaRef ds:uri="b7b9da82-d3de-48fa-ab3b-8defd2a167d0"/>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4B46EAD-8064-468C-A60B-5427BF8B64B2}">
  <ds:schemaRefs>
    <ds:schemaRef ds:uri="http://schemas.microsoft.com/sharepoint/v3/contenttype/forms"/>
  </ds:schemaRefs>
</ds:datastoreItem>
</file>

<file path=customXml/itemProps4.xml><?xml version="1.0" encoding="utf-8"?>
<ds:datastoreItem xmlns:ds="http://schemas.openxmlformats.org/officeDocument/2006/customXml" ds:itemID="{7F13F50A-50FA-458A-999F-96BAAE3A3F46}">
  <ds:schemaRefs>
    <ds:schemaRef ds:uri="http://schemas.microsoft.com/sharepoint/events"/>
  </ds:schemaRefs>
</ds:datastoreItem>
</file>

<file path=customXml/itemProps5.xml><?xml version="1.0" encoding="utf-8"?>
<ds:datastoreItem xmlns:ds="http://schemas.openxmlformats.org/officeDocument/2006/customXml" ds:itemID="{9DB1C781-1699-4589-95CD-549841F8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652</Words>
  <Characters>3523</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Albino</dc:creator>
  <cp:keywords/>
  <dc:description/>
  <cp:lastModifiedBy>Isabel Joaquim</cp:lastModifiedBy>
  <cp:revision>2</cp:revision>
  <cp:lastPrinted>2016-05-18T11:19:00Z</cp:lastPrinted>
  <dcterms:created xsi:type="dcterms:W3CDTF">2018-12-05T10:24:00Z</dcterms:created>
  <dcterms:modified xsi:type="dcterms:W3CDTF">2018-12-05T10:24:00Z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0x010100C54FE0D8E9071A4F9C270CD3D3D17461</vt:lpwstr>
  </property>
  <property fmtid="{D5CDD505-2E9C-101B-9397-08002B2CF9AE}" pid="3" name="_dlc_DocIdItemGuid">
    <vt:lpwstr>777d3108-d00f-4f4b-8843-43ba05155c60</vt:lpwstr>
  </property>
</Properties>
</file>